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2E" w:rsidRDefault="00922E2E">
      <w:pPr>
        <w:pStyle w:val="Titolo4"/>
        <w:rPr>
          <w:b/>
        </w:rPr>
      </w:pPr>
      <w:bookmarkStart w:id="0" w:name="_GoBack"/>
      <w:bookmarkEnd w:id="0"/>
    </w:p>
    <w:p w:rsidR="00922E2E" w:rsidRDefault="00B96EB0">
      <w:pPr>
        <w:pStyle w:val="Titolo4"/>
      </w:pPr>
      <w:r>
        <w:rPr>
          <w:b/>
        </w:rPr>
        <w:t xml:space="preserve">DOCENTE </w:t>
      </w:r>
      <w:proofErr w:type="spellStart"/>
      <w:r>
        <w:rPr>
          <w:b/>
        </w:rPr>
        <w:t>Gabanelli</w:t>
      </w:r>
      <w:proofErr w:type="spellEnd"/>
      <w:r>
        <w:rPr>
          <w:b/>
        </w:rPr>
        <w:t xml:space="preserve"> Clementina MATERIA Diritto/Economia Politica Classe 2 C</w:t>
      </w:r>
    </w:p>
    <w:p w:rsidR="00922E2E" w:rsidRDefault="00922E2E">
      <w:pPr>
        <w:pStyle w:val="Titolo4"/>
      </w:pPr>
    </w:p>
    <w:p w:rsidR="00922E2E" w:rsidRDefault="00922E2E">
      <w:pPr>
        <w:pStyle w:val="Normale1"/>
      </w:pPr>
    </w:p>
    <w:p w:rsidR="00922E2E" w:rsidRDefault="00B96EB0">
      <w:pPr>
        <w:pStyle w:val="Normale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922E2E" w:rsidRDefault="00922E2E">
      <w:pPr>
        <w:pStyle w:val="Normale1"/>
        <w:rPr>
          <w:u w:val="single"/>
        </w:rPr>
      </w:pPr>
    </w:p>
    <w:p w:rsidR="00922E2E" w:rsidRDefault="00B96EB0">
      <w:pPr>
        <w:pStyle w:val="Normale1"/>
        <w:spacing w:line="360" w:lineRule="auto"/>
      </w:pPr>
      <w:r>
        <w:rPr>
          <w:b/>
          <w:u w:val="single"/>
        </w:rPr>
        <w:t>Lavoratori e Lavoratrici</w:t>
      </w:r>
      <w:r>
        <w:t>: principi costituzionali.</w:t>
      </w:r>
    </w:p>
    <w:p w:rsidR="00922E2E" w:rsidRDefault="00B96EB0">
      <w:pPr>
        <w:pStyle w:val="Normale1"/>
        <w:spacing w:line="360" w:lineRule="auto"/>
        <w:jc w:val="both"/>
      </w:pPr>
      <w:r>
        <w:t xml:space="preserve">Il sindacato, i contratti collettivi, il rapporto di lavoro, il diritto-dovere al lavoro, la </w:t>
      </w:r>
      <w:r>
        <w:t>retribuzione, l’orario di lavoro, riposo e ferie, la sicurezza sul lavoro, i doveri del lavoratore, il licenziamento, la tutela delle donne e dei minori, lo sciopero, il diritto di sciopero in Italia.</w:t>
      </w:r>
    </w:p>
    <w:p w:rsidR="00922E2E" w:rsidRDefault="00B96EB0">
      <w:pPr>
        <w:pStyle w:val="Normale1"/>
        <w:spacing w:line="360" w:lineRule="auto"/>
        <w:jc w:val="both"/>
      </w:pPr>
      <w:r>
        <w:rPr>
          <w:b/>
          <w:u w:val="single"/>
        </w:rPr>
        <w:t>La disoccupazione</w:t>
      </w:r>
      <w:r>
        <w:t>: domanda e offerta di lavoro, le dive</w:t>
      </w:r>
      <w:r>
        <w:t>rse forme di disoccupazione.</w:t>
      </w:r>
    </w:p>
    <w:p w:rsidR="00922E2E" w:rsidRDefault="00B96EB0">
      <w:pPr>
        <w:pStyle w:val="Normale1"/>
        <w:spacing w:line="360" w:lineRule="auto"/>
        <w:jc w:val="both"/>
      </w:pPr>
      <w:r>
        <w:rPr>
          <w:b/>
          <w:u w:val="single"/>
        </w:rPr>
        <w:t>Liberismo economico o Welfare State</w:t>
      </w:r>
      <w:r>
        <w:t xml:space="preserve">? La legge di </w:t>
      </w:r>
      <w:proofErr w:type="spellStart"/>
      <w:r>
        <w:t>Say</w:t>
      </w:r>
      <w:proofErr w:type="spellEnd"/>
      <w:r>
        <w:t xml:space="preserve">; Smith e la mano invisibile, la finanza neutrale; il bilancio in pareggio; il </w:t>
      </w:r>
      <w:proofErr w:type="spellStart"/>
      <w:r>
        <w:t>crowding</w:t>
      </w:r>
      <w:proofErr w:type="spellEnd"/>
      <w:r>
        <w:t xml:space="preserve">-out, da </w:t>
      </w:r>
      <w:proofErr w:type="spellStart"/>
      <w:r>
        <w:t>Say</w:t>
      </w:r>
      <w:proofErr w:type="spellEnd"/>
      <w:r>
        <w:t xml:space="preserve"> a Keynes; la domanda determina il reddito nazionale, la spesa pubblica; il </w:t>
      </w:r>
      <w:r>
        <w:t xml:space="preserve">deficit </w:t>
      </w:r>
      <w:proofErr w:type="spellStart"/>
      <w:r>
        <w:t>spending</w:t>
      </w:r>
      <w:proofErr w:type="spellEnd"/>
      <w:r>
        <w:t>; gli “occhiali” di Keynes; lo Stato sociale in Italia; l’incremento della Spesa pubblica, la redistribuzione del reddito nelle diverse forme, il debito pubblico, disavanzo annuale e debito pubblico; la rigidità della spesa pubblica, la dis</w:t>
      </w:r>
      <w:r>
        <w:t>intermediazione bancaria, il patto di stabilità e di crescita; la crisi del welfare state.</w:t>
      </w:r>
    </w:p>
    <w:p w:rsidR="00922E2E" w:rsidRDefault="00B96EB0">
      <w:pPr>
        <w:pStyle w:val="Normale1"/>
        <w:spacing w:line="360" w:lineRule="auto"/>
        <w:jc w:val="both"/>
      </w:pPr>
      <w:r>
        <w:rPr>
          <w:b/>
          <w:u w:val="single"/>
        </w:rPr>
        <w:t>Il Parlamento</w:t>
      </w:r>
      <w:r>
        <w:t>. Il bicameralismo; elettorato attivo e elettorato passivo; i senatori a vita; il bicameralismo perfetto; il Parlamento in seduta comune; la legislatura</w:t>
      </w:r>
      <w:r>
        <w:t xml:space="preserve">, proroga e </w:t>
      </w:r>
      <w:proofErr w:type="spellStart"/>
      <w:r>
        <w:t>prorogatio</w:t>
      </w:r>
      <w:proofErr w:type="spellEnd"/>
      <w:r>
        <w:t xml:space="preserve">; lo scioglimento anticipato delle Camere; deputati e senatori; ineleggibilità e incompatibilità; le guarentigie; gruppi e commissioni; organizzazione e regolamenti. </w:t>
      </w:r>
    </w:p>
    <w:p w:rsidR="00922E2E" w:rsidRDefault="00B96EB0">
      <w:pPr>
        <w:pStyle w:val="Normale1"/>
        <w:spacing w:line="360" w:lineRule="auto"/>
        <w:jc w:val="both"/>
      </w:pPr>
      <w:r>
        <w:rPr>
          <w:b/>
          <w:u w:val="single"/>
        </w:rPr>
        <w:t>Il Presidente della Repubblica. R</w:t>
      </w:r>
      <w:r>
        <w:t>epubblica parlamentare e Repubblic</w:t>
      </w:r>
      <w:r>
        <w:t>a Presidenziale. L’elettorato passivo, i Grandi elettori, il quorum, il garante della Costituzione, durata in carica, la controfirma ministeriale, i poteri, il semestre bianco, la responsabilità penale.</w:t>
      </w:r>
    </w:p>
    <w:p w:rsidR="00922E2E" w:rsidRDefault="00B96EB0">
      <w:pPr>
        <w:pStyle w:val="Normale1"/>
        <w:spacing w:line="360" w:lineRule="auto"/>
        <w:jc w:val="both"/>
      </w:pPr>
      <w:r>
        <w:rPr>
          <w:b/>
          <w:u w:val="single"/>
        </w:rPr>
        <w:t>Il Governo</w:t>
      </w:r>
      <w:r>
        <w:t xml:space="preserve">. Il Consiglio dei Ministri, il Presidente </w:t>
      </w:r>
      <w:r>
        <w:t>del Consiglio, Ministri, Vice-ministri, Sottosegretari. La formazione del Governo. Mozione e questione di fiducia. Maggioranza e opposizione. Le crisi di governo, le soluzioni alle crisi di governo. Funzioni del Governo. Decreti legge e Decreti legislativi</w:t>
      </w:r>
      <w:r>
        <w:t>, i Regolamenti.</w:t>
      </w:r>
    </w:p>
    <w:p w:rsidR="00922E2E" w:rsidRDefault="00B96EB0">
      <w:pPr>
        <w:pStyle w:val="Normale1"/>
        <w:spacing w:line="360" w:lineRule="auto"/>
        <w:jc w:val="both"/>
      </w:pPr>
      <w:r>
        <w:rPr>
          <w:b/>
          <w:u w:val="single"/>
        </w:rPr>
        <w:t xml:space="preserve">La Corte Costituzionale </w:t>
      </w:r>
      <w:r>
        <w:t>Nomina e composizione; durata in carica. Il giudizio sulla legittimità costituzionale delle leggi, sentenze di accoglimento e sentenze di rigetto. Il giudizio di ammissibilità del referendum.</w:t>
      </w:r>
    </w:p>
    <w:p w:rsidR="00922E2E" w:rsidRDefault="00B96EB0">
      <w:pPr>
        <w:pStyle w:val="Normale1"/>
        <w:spacing w:line="360" w:lineRule="auto"/>
        <w:jc w:val="both"/>
      </w:pPr>
      <w:r>
        <w:rPr>
          <w:b/>
          <w:bCs/>
          <w:u w:val="single"/>
        </w:rPr>
        <w:t xml:space="preserve">Il Sistema Tributario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I Tributi: imposte, tasse e contributi. Art. 53 della Costituzione: la progressività come criterio di  equità fiscale. La classificazione delle imposte: personali e reali, dirette e indirette, proporzionali e progressive. Gli effetti regressivi di alcune </w:t>
      </w:r>
      <w:r>
        <w:t xml:space="preserve">imposte. La capacità contributiva. </w:t>
      </w:r>
    </w:p>
    <w:p w:rsidR="00922E2E" w:rsidRDefault="00B96EB0">
      <w:pPr>
        <w:pStyle w:val="Normale1"/>
        <w:spacing w:line="360" w:lineRule="auto"/>
        <w:jc w:val="both"/>
      </w:pPr>
      <w:r>
        <w:t xml:space="preserve">  </w:t>
      </w:r>
    </w:p>
    <w:p w:rsidR="00922E2E" w:rsidRDefault="00B96EB0">
      <w:pPr>
        <w:pStyle w:val="Normale1"/>
        <w:rPr>
          <w:sz w:val="22"/>
        </w:rPr>
      </w:pPr>
      <w:r>
        <w:rPr>
          <w:sz w:val="22"/>
        </w:rPr>
        <w:t>Bergamo, 28.5.2015</w:t>
      </w:r>
    </w:p>
    <w:p w:rsidR="00922E2E" w:rsidRDefault="00922E2E">
      <w:pPr>
        <w:pStyle w:val="Normale1"/>
        <w:rPr>
          <w:sz w:val="22"/>
        </w:rPr>
      </w:pPr>
    </w:p>
    <w:p w:rsidR="00922E2E" w:rsidRDefault="00B96EB0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922E2E" w:rsidRDefault="00B96EB0">
      <w:pPr>
        <w:pStyle w:val="Normale1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sectPr w:rsidR="00922E2E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6EB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96E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altName w:val="Nyal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, 바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2E" w:rsidRDefault="00B96EB0">
    <w:pPr>
      <w:pStyle w:val="Normale1"/>
      <w:jc w:val="center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922E2E" w:rsidRDefault="00B96EB0">
    <w:pPr>
      <w:pStyle w:val="Pidipagina"/>
      <w:jc w:val="right"/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  <w:p w:rsidR="00922E2E" w:rsidRDefault="00922E2E">
    <w:pPr>
      <w:pStyle w:val="Pidipagina"/>
      <w:rPr>
        <w:sz w:val="16"/>
        <w:szCs w:val="16"/>
      </w:rPr>
    </w:pPr>
  </w:p>
  <w:p w:rsidR="00922E2E" w:rsidRDefault="00922E2E">
    <w:pPr>
      <w:pStyle w:val="Pidipagina"/>
      <w:jc w:val="center"/>
    </w:pPr>
  </w:p>
  <w:p w:rsidR="00922E2E" w:rsidRDefault="00922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6EB0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B96E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Ind w:w="-1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2234"/>
      <w:gridCol w:w="5385"/>
      <w:gridCol w:w="2374"/>
    </w:tblGrid>
    <w:tr w:rsidR="00922E2E">
      <w:trPr>
        <w:cantSplit/>
        <w:trHeight w:val="1055"/>
      </w:trPr>
      <w:tc>
        <w:tcPr>
          <w:tcW w:w="223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922E2E" w:rsidRDefault="00B96EB0">
          <w:pPr>
            <w:pStyle w:val="Intestazione"/>
            <w:spacing w:before="4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04240" cy="98996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922E2E" w:rsidRDefault="00B96EB0">
          <w:pPr>
            <w:pStyle w:val="Normale1"/>
            <w:jc w:val="center"/>
            <w:rPr>
              <w:sz w:val="18"/>
            </w:rPr>
          </w:pPr>
          <w:r>
            <w:rPr>
              <w:sz w:val="18"/>
            </w:rPr>
            <w:t>ISTITUTO DI ISTRUZIONESUPERIORE</w:t>
          </w:r>
        </w:p>
        <w:p w:rsidR="00922E2E" w:rsidRDefault="00B96EB0">
          <w:pPr>
            <w:pStyle w:val="Normale1"/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922E2E" w:rsidRDefault="00B96EB0">
          <w:pPr>
            <w:pStyle w:val="Normale1"/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922E2E" w:rsidRDefault="00B96EB0">
          <w:pPr>
            <w:pStyle w:val="Normale1"/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922E2E" w:rsidRDefault="00B96EB0">
          <w:pPr>
            <w:pStyle w:val="Normale1"/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922E2E" w:rsidRDefault="00B96EB0">
          <w:pPr>
            <w:pStyle w:val="Normale1"/>
            <w:jc w:val="center"/>
          </w:pPr>
          <w:r>
            <w:t xml:space="preserve">Indirizzo e mail: </w:t>
          </w:r>
          <w:hyperlink r:id="rId2">
            <w:r>
              <w:rPr>
                <w:rStyle w:val="CollegamentoInternet"/>
              </w:rPr>
              <w:t>itasbergamo@tin.it</w:t>
            </w:r>
          </w:hyperlink>
        </w:p>
      </w:tc>
      <w:tc>
        <w:tcPr>
          <w:tcW w:w="237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922E2E" w:rsidRDefault="00B96EB0">
          <w:pPr>
            <w:pStyle w:val="Normale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93775" cy="986155"/>
                <wp:effectExtent l="0" t="0" r="0" b="0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6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22E2E" w:rsidRDefault="00B96EB0">
          <w:pPr>
            <w:pStyle w:val="Normale1"/>
            <w:rPr>
              <w:lang w:val="en-US"/>
            </w:rPr>
          </w:pPr>
          <w:proofErr w:type="spellStart"/>
          <w:r>
            <w:rPr>
              <w:lang w:val="en-US"/>
            </w:rPr>
            <w:t>Certif</w:t>
          </w:r>
          <w:proofErr w:type="spellEnd"/>
          <w:r>
            <w:rPr>
              <w:lang w:val="en-US"/>
            </w:rPr>
            <w:t xml:space="preserve"> n° 9175.MRS</w:t>
          </w:r>
        </w:p>
        <w:p w:rsidR="00922E2E" w:rsidRDefault="00B96EB0">
          <w:pPr>
            <w:pStyle w:val="Normale1"/>
            <w:rPr>
              <w:lang w:val="en-US"/>
            </w:rPr>
          </w:pPr>
          <w:r>
            <w:rPr>
              <w:lang w:val="en-US"/>
            </w:rPr>
            <w:t>Rev. 04 del 01/06/2014</w:t>
          </w:r>
        </w:p>
      </w:tc>
    </w:tr>
    <w:tr w:rsidR="00922E2E">
      <w:trPr>
        <w:cantSplit/>
        <w:trHeight w:val="887"/>
      </w:trPr>
      <w:tc>
        <w:tcPr>
          <w:tcW w:w="223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922E2E" w:rsidRDefault="00922E2E">
          <w:pPr>
            <w:pStyle w:val="Normale1"/>
            <w:rPr>
              <w:lang w:val="en-US"/>
            </w:rPr>
          </w:pPr>
        </w:p>
      </w:tc>
      <w:tc>
        <w:tcPr>
          <w:tcW w:w="538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922E2E" w:rsidRDefault="00B96EB0">
          <w:pPr>
            <w:pStyle w:val="Normale1"/>
            <w:jc w:val="center"/>
            <w:rPr>
              <w:rFonts w:ascii="Century" w:eastAsia="Batang, 바탕" w:hAnsi="Century" w:cs="Century"/>
              <w:b/>
              <w:bCs/>
              <w:sz w:val="28"/>
              <w:szCs w:val="28"/>
            </w:rPr>
          </w:pPr>
          <w:r>
            <w:rPr>
              <w:rFonts w:ascii="Century" w:eastAsia="Batang, 바탕" w:hAnsi="Century" w:cs="Century"/>
              <w:b/>
              <w:bCs/>
              <w:sz w:val="28"/>
              <w:szCs w:val="28"/>
            </w:rPr>
            <w:t>PROGRAMMA SVOLTO</w:t>
          </w:r>
        </w:p>
        <w:p w:rsidR="00922E2E" w:rsidRDefault="00B96EB0">
          <w:pPr>
            <w:pStyle w:val="Normale1"/>
            <w:jc w:val="center"/>
            <w:rPr>
              <w:rFonts w:ascii="Century" w:eastAsia="Batang, 바탕" w:hAnsi="Century" w:cs="Century"/>
              <w:b/>
              <w:bCs/>
              <w:sz w:val="28"/>
              <w:szCs w:val="28"/>
            </w:rPr>
          </w:pPr>
          <w:r>
            <w:rPr>
              <w:rFonts w:ascii="Century" w:eastAsia="Batang, 바탕" w:hAnsi="Century" w:cs="Century"/>
              <w:b/>
              <w:bCs/>
              <w:sz w:val="28"/>
              <w:szCs w:val="28"/>
            </w:rPr>
            <w:t>ALL. 03/P03</w:t>
          </w:r>
        </w:p>
      </w:tc>
      <w:tc>
        <w:tcPr>
          <w:tcW w:w="237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922E2E" w:rsidRDefault="00922E2E">
          <w:pPr>
            <w:pStyle w:val="Normale1"/>
          </w:pPr>
        </w:p>
      </w:tc>
    </w:tr>
  </w:tbl>
  <w:p w:rsidR="00922E2E" w:rsidRDefault="00922E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2E2E"/>
    <w:rsid w:val="00922E2E"/>
    <w:rsid w:val="00B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1"/>
    <w:next w:val="Normale1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1"/>
    <w:next w:val="Normale1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1"/>
    <w:next w:val="Normale1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1"/>
    <w:next w:val="Normale1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1"/>
    <w:next w:val="Normale1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1"/>
    <w:next w:val="Normale1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1"/>
    <w:next w:val="Normale1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1"/>
    <w:next w:val="Normale1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  <w:rPr>
      <w:b/>
      <w:i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9z0">
    <w:name w:val="WW8Num19z0"/>
    <w:rPr>
      <w:rFonts w:ascii="Wingdings" w:hAnsi="Wingdings" w:cs="Wingdings"/>
      <w:sz w:val="16"/>
    </w:rPr>
  </w:style>
  <w:style w:type="character" w:customStyle="1" w:styleId="WW8Num20z0">
    <w:name w:val="WW8Num20z0"/>
    <w:rPr>
      <w:rFonts w:ascii="Wingdings" w:hAnsi="Wingdings" w:cs="Wingdings"/>
      <w:sz w:val="16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16"/>
    </w:rPr>
  </w:style>
  <w:style w:type="character" w:styleId="Numeropagina">
    <w:name w:val="page number"/>
    <w:basedOn w:val="Carpredefinitoparagrafo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rPr>
      <w:b/>
      <w:i/>
      <w:u w:val="singl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  <w:sz w:val="16"/>
    </w:rPr>
  </w:style>
  <w:style w:type="character" w:customStyle="1" w:styleId="ListLabel6">
    <w:name w:val="ListLabel 6"/>
    <w:rPr>
      <w:rFonts w:eastAsia="Times New Roman" w:cs="Times New Roman"/>
    </w:rPr>
  </w:style>
  <w:style w:type="paragraph" w:customStyle="1" w:styleId="Titolo10">
    <w:name w:val="Titolo1"/>
    <w:basedOn w:val="Normale1"/>
    <w:next w:val="Corpodeltesto"/>
    <w:pPr>
      <w:keepNext/>
      <w:spacing w:before="240" w:after="120"/>
      <w:jc w:val="center"/>
    </w:pPr>
    <w:rPr>
      <w:rFonts w:ascii="Liberation Sans" w:eastAsia="Microsoft YaHei" w:hAnsi="Liberation Sans" w:cs="Mangal"/>
      <w:b/>
      <w:sz w:val="32"/>
      <w:szCs w:val="28"/>
    </w:rPr>
  </w:style>
  <w:style w:type="paragraph" w:customStyle="1" w:styleId="Corpodeltesto">
    <w:name w:val="Corpo del testo"/>
    <w:basedOn w:val="Normale1"/>
    <w:pPr>
      <w:widowControl w:val="0"/>
      <w:spacing w:line="288" w:lineRule="auto"/>
      <w:jc w:val="both"/>
    </w:pPr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1"/>
    <w:pPr>
      <w:suppressLineNumbers/>
    </w:pPr>
    <w:rPr>
      <w:rFonts w:cs="Mangal"/>
      <w:sz w:val="24"/>
    </w:rPr>
  </w:style>
  <w:style w:type="paragraph" w:styleId="Pidipagina">
    <w:name w:val="footer"/>
    <w:basedOn w:val="Normale1"/>
    <w:pPr>
      <w:tabs>
        <w:tab w:val="center" w:pos="4819"/>
        <w:tab w:val="right" w:pos="9638"/>
      </w:tabs>
    </w:pPr>
  </w:style>
  <w:style w:type="paragraph" w:customStyle="1" w:styleId="Rientrocorpodeltesto1">
    <w:name w:val="Rientro corpo del testo1"/>
    <w:basedOn w:val="Normale1"/>
    <w:pPr>
      <w:spacing w:after="120"/>
      <w:ind w:left="283"/>
    </w:pPr>
  </w:style>
  <w:style w:type="paragraph" w:styleId="Intestazione">
    <w:name w:val="header"/>
    <w:basedOn w:val="Normale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1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1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1"/>
    <w:next w:val="Normale1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1"/>
    <w:next w:val="Normale1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1"/>
    <w:next w:val="Normale1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1"/>
    <w:next w:val="Normale1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1"/>
    <w:next w:val="Normale1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1"/>
    <w:next w:val="Normale1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1"/>
    <w:next w:val="Normale1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1"/>
    <w:next w:val="Normale1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  <w:rPr>
      <w:b/>
      <w:i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9z0">
    <w:name w:val="WW8Num19z0"/>
    <w:rPr>
      <w:rFonts w:ascii="Wingdings" w:hAnsi="Wingdings" w:cs="Wingdings"/>
      <w:sz w:val="16"/>
    </w:rPr>
  </w:style>
  <w:style w:type="character" w:customStyle="1" w:styleId="WW8Num20z0">
    <w:name w:val="WW8Num20z0"/>
    <w:rPr>
      <w:rFonts w:ascii="Wingdings" w:hAnsi="Wingdings" w:cs="Wingdings"/>
      <w:sz w:val="16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16"/>
    </w:rPr>
  </w:style>
  <w:style w:type="character" w:styleId="Numeropagina">
    <w:name w:val="page number"/>
    <w:basedOn w:val="Carpredefinitoparagrafo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rPr>
      <w:b/>
      <w:i/>
      <w:u w:val="singl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  <w:sz w:val="16"/>
    </w:rPr>
  </w:style>
  <w:style w:type="character" w:customStyle="1" w:styleId="ListLabel6">
    <w:name w:val="ListLabel 6"/>
    <w:rPr>
      <w:rFonts w:eastAsia="Times New Roman" w:cs="Times New Roman"/>
    </w:rPr>
  </w:style>
  <w:style w:type="paragraph" w:customStyle="1" w:styleId="Titolo10">
    <w:name w:val="Titolo1"/>
    <w:basedOn w:val="Normale1"/>
    <w:next w:val="Corpodeltesto"/>
    <w:pPr>
      <w:keepNext/>
      <w:spacing w:before="240" w:after="120"/>
      <w:jc w:val="center"/>
    </w:pPr>
    <w:rPr>
      <w:rFonts w:ascii="Liberation Sans" w:eastAsia="Microsoft YaHei" w:hAnsi="Liberation Sans" w:cs="Mangal"/>
      <w:b/>
      <w:sz w:val="32"/>
      <w:szCs w:val="28"/>
    </w:rPr>
  </w:style>
  <w:style w:type="paragraph" w:customStyle="1" w:styleId="Corpodeltesto">
    <w:name w:val="Corpo del testo"/>
    <w:basedOn w:val="Normale1"/>
    <w:pPr>
      <w:widowControl w:val="0"/>
      <w:spacing w:line="288" w:lineRule="auto"/>
      <w:jc w:val="both"/>
    </w:pPr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1"/>
    <w:pPr>
      <w:suppressLineNumbers/>
    </w:pPr>
    <w:rPr>
      <w:rFonts w:cs="Mangal"/>
      <w:sz w:val="24"/>
    </w:rPr>
  </w:style>
  <w:style w:type="paragraph" w:styleId="Pidipagina">
    <w:name w:val="footer"/>
    <w:basedOn w:val="Normale1"/>
    <w:pPr>
      <w:tabs>
        <w:tab w:val="center" w:pos="4819"/>
        <w:tab w:val="right" w:pos="9638"/>
      </w:tabs>
    </w:pPr>
  </w:style>
  <w:style w:type="paragraph" w:customStyle="1" w:styleId="Rientrocorpodeltesto1">
    <w:name w:val="Rientro corpo del testo1"/>
    <w:basedOn w:val="Normale1"/>
    <w:pPr>
      <w:spacing w:after="120"/>
      <w:ind w:left="283"/>
    </w:pPr>
  </w:style>
  <w:style w:type="paragraph" w:styleId="Intestazione">
    <w:name w:val="header"/>
    <w:basedOn w:val="Normale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1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1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Clementina</cp:lastModifiedBy>
  <cp:revision>2</cp:revision>
  <cp:lastPrinted>2004-07-15T11:08:00Z</cp:lastPrinted>
  <dcterms:created xsi:type="dcterms:W3CDTF">2015-05-31T16:06:00Z</dcterms:created>
  <dcterms:modified xsi:type="dcterms:W3CDTF">2015-05-31T16:06:00Z</dcterms:modified>
  <dc:language>it-IT</dc:language>
</cp:coreProperties>
</file>