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9A3D65">
        <w:rPr>
          <w:b/>
          <w:sz w:val="22"/>
          <w:szCs w:val="22"/>
        </w:rPr>
        <w:t xml:space="preserve">                 CLASSE    2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</w:t>
      </w:r>
      <w:proofErr w:type="spellStart"/>
      <w:r>
        <w:rPr>
          <w:bCs/>
        </w:rPr>
        <w:t>altro…</w:t>
      </w:r>
      <w:proofErr w:type="spellEnd"/>
      <w:r>
        <w:rPr>
          <w:bCs/>
        </w:rPr>
        <w:t>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9A3D65" w:rsidRDefault="009A3D65" w:rsidP="009A3D65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9A3D65" w:rsidRDefault="009A3D65" w:rsidP="009A3D65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Imbrogli e raggiri: alcune modalità.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783AEC" w:rsidP="00A079E5">
      <w:pPr>
        <w:rPr>
          <w:sz w:val="22"/>
          <w:szCs w:val="22"/>
        </w:rPr>
      </w:pPr>
      <w:r>
        <w:rPr>
          <w:sz w:val="22"/>
          <w:szCs w:val="22"/>
        </w:rPr>
        <w:t xml:space="preserve">Bergamo,  06  </w:t>
      </w:r>
      <w:r w:rsidR="001401CB">
        <w:rPr>
          <w:sz w:val="22"/>
          <w:szCs w:val="22"/>
        </w:rPr>
        <w:t>giugno 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C73DC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C73DC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C73DCD" w:rsidRPr="001375F9">
      <w:rPr>
        <w:sz w:val="16"/>
        <w:szCs w:val="16"/>
      </w:rPr>
      <w:fldChar w:fldCharType="separate"/>
    </w:r>
    <w:r w:rsidR="001401CB">
      <w:rPr>
        <w:noProof/>
        <w:sz w:val="16"/>
        <w:szCs w:val="16"/>
      </w:rPr>
      <w:t>1</w:t>
    </w:r>
    <w:r w:rsidR="00C73DC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C73DC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C73DCD" w:rsidRPr="001375F9">
      <w:rPr>
        <w:sz w:val="16"/>
        <w:szCs w:val="16"/>
      </w:rPr>
      <w:fldChar w:fldCharType="separate"/>
    </w:r>
    <w:r w:rsidR="001401CB">
      <w:rPr>
        <w:noProof/>
        <w:sz w:val="16"/>
        <w:szCs w:val="16"/>
      </w:rPr>
      <w:t>1</w:t>
    </w:r>
    <w:r w:rsidR="00C73DC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C73DCD" w:rsidP="000164C1">
          <w:pPr>
            <w:jc w:val="center"/>
            <w:rPr>
              <w:color w:val="000000"/>
            </w:rPr>
          </w:pPr>
          <w:r w:rsidRPr="00C73DC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C73DCD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401CB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316F-456E-45AF-8057-048DE59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32</TotalTime>
  <Pages>1</Pages>
  <Words>295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2074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14</cp:revision>
  <cp:lastPrinted>2004-07-15T09:08:00Z</cp:lastPrinted>
  <dcterms:created xsi:type="dcterms:W3CDTF">2014-04-28T03:03:00Z</dcterms:created>
  <dcterms:modified xsi:type="dcterms:W3CDTF">2017-05-08T11:38:00Z</dcterms:modified>
</cp:coreProperties>
</file>