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4F" w:rsidRDefault="00F6674F">
      <w:pPr>
        <w:pStyle w:val="Titolo1"/>
      </w:pPr>
      <w:bookmarkStart w:id="0" w:name="_GoBack"/>
      <w:bookmarkEnd w:id="0"/>
    </w:p>
    <w:tbl>
      <w:tblPr>
        <w:tblW w:w="986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64"/>
      </w:tblGrid>
      <w:tr w:rsidR="00F6674F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86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F" w:rsidRDefault="00CC7963">
            <w:pPr>
              <w:pStyle w:val="Standard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it-IT"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762120</wp:posOffset>
                  </wp:positionH>
                  <wp:positionV relativeFrom="paragraph">
                    <wp:posOffset>309960</wp:posOffset>
                  </wp:positionV>
                  <wp:extent cx="659880" cy="720000"/>
                  <wp:effectExtent l="0" t="0" r="6870" b="3900"/>
                  <wp:wrapNone/>
                  <wp:docPr id="1" name="Logo IIS Mario Rigoni Ster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8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  <w:lang w:eastAsia="it-IT" w:bidi="ar-SA"/>
              </w:rPr>
              <w:drawing>
                <wp:inline distT="0" distB="0" distL="0" distR="0">
                  <wp:extent cx="306720" cy="351720"/>
                  <wp:effectExtent l="0" t="0" r="0" b="0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0" cy="3517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74F" w:rsidRDefault="00CC7963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Ministero della Pubblica Istruzione</w:t>
            </w:r>
          </w:p>
          <w:p w:rsidR="00F6674F" w:rsidRDefault="00CC7963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I.I.S. Mario Rigoni Stern</w:t>
            </w:r>
          </w:p>
          <w:p w:rsidR="00F6674F" w:rsidRDefault="00CC7963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Via Borgo Palazzo 128-24125 Bergamo</w:t>
            </w:r>
          </w:p>
          <w:p w:rsidR="00F6674F" w:rsidRDefault="00CC7963">
            <w:pPr>
              <w:pStyle w:val="Standard"/>
              <w:jc w:val="center"/>
            </w:pPr>
            <w:r>
              <w:rPr>
                <w:rFonts w:ascii="Wingdings 2" w:hAnsi="Wingdings 2"/>
                <w:sz w:val="22"/>
                <w:szCs w:val="22"/>
              </w:rPr>
              <w:t>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035 220213 - </w:t>
            </w:r>
            <w:r>
              <w:rPr>
                <w:rFonts w:ascii="Wingdings 2" w:hAnsi="Wingdings 2"/>
                <w:sz w:val="22"/>
                <w:szCs w:val="22"/>
              </w:rPr>
              <w:t>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035 220410</w:t>
            </w:r>
          </w:p>
          <w:p w:rsidR="00F6674F" w:rsidRDefault="00CC7963">
            <w:pPr>
              <w:pStyle w:val="Standard"/>
              <w:jc w:val="center"/>
              <w:rPr>
                <w:rFonts w:ascii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hAnsi="Verdana" w:cs="Verdana"/>
                <w:color w:val="000000"/>
                <w:sz w:val="22"/>
                <w:szCs w:val="22"/>
              </w:rPr>
              <w:t>Sito: http://www.iisrigonistern.it-email: BGIS03100L@istruzione.it</w:t>
            </w:r>
          </w:p>
        </w:tc>
      </w:tr>
      <w:tr w:rsidR="00F6674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74F" w:rsidRDefault="00CC7963">
            <w:pPr>
              <w:pStyle w:val="Standard"/>
              <w:jc w:val="center"/>
              <w:rPr>
                <w:rFonts w:ascii="Verdana" w:eastAsia="Batang, 바탕" w:hAnsi="Verdana" w:cs="Verdana"/>
                <w:b/>
                <w:bCs/>
              </w:rPr>
            </w:pPr>
            <w:r>
              <w:rPr>
                <w:rFonts w:ascii="Verdana" w:eastAsia="Batang, 바탕" w:hAnsi="Verdana" w:cs="Verdana"/>
                <w:b/>
                <w:bCs/>
              </w:rPr>
              <w:t>PROGRAMMA SVOLTO – ALL. 03/P03</w:t>
            </w:r>
          </w:p>
        </w:tc>
      </w:tr>
    </w:tbl>
    <w:p w:rsidR="00F6674F" w:rsidRDefault="00F6674F">
      <w:pPr>
        <w:pStyle w:val="Standard"/>
      </w:pPr>
    </w:p>
    <w:p w:rsidR="00F6674F" w:rsidRDefault="00F6674F">
      <w:pPr>
        <w:pStyle w:val="Standard"/>
      </w:pPr>
    </w:p>
    <w:p w:rsidR="00F6674F" w:rsidRDefault="00F6674F">
      <w:pPr>
        <w:pStyle w:val="Standard"/>
      </w:pPr>
    </w:p>
    <w:p w:rsidR="00F6674F" w:rsidRDefault="00CC7963">
      <w:pPr>
        <w:pStyle w:val="Titolo4"/>
      </w:pPr>
      <w:r>
        <w:rPr>
          <w:b/>
        </w:rPr>
        <w:t xml:space="preserve">DOCENTE    Baggi Paolo       MATERIA </w:t>
      </w:r>
      <w:r>
        <w:rPr>
          <w:b/>
        </w:rPr>
        <w:tab/>
        <w:t>Produzioni vegetali     CLASSE         4C</w:t>
      </w:r>
    </w:p>
    <w:p w:rsidR="00F6674F" w:rsidRDefault="00F6674F">
      <w:pPr>
        <w:pStyle w:val="Standard"/>
      </w:pPr>
    </w:p>
    <w:p w:rsidR="00F6674F" w:rsidRDefault="00CC7963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PROGRAMMA ED ARGOMENTI TRATTATI</w:t>
      </w:r>
    </w:p>
    <w:p w:rsidR="00F6674F" w:rsidRDefault="00F6674F">
      <w:pPr>
        <w:pStyle w:val="Standard"/>
        <w:rPr>
          <w:u w:val="single"/>
        </w:rPr>
      </w:pPr>
    </w:p>
    <w:p w:rsidR="00F6674F" w:rsidRDefault="00CC7963">
      <w:pPr>
        <w:pStyle w:val="Titolo1"/>
        <w:ind w:left="1440"/>
      </w:pPr>
      <w:r>
        <w:t xml:space="preserve">La </w:t>
      </w:r>
      <w:r>
        <w:t>concimazione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Fertilizzanti, concimi, ammendanti e corretivi</w:t>
      </w:r>
    </w:p>
    <w:p w:rsidR="00F6674F" w:rsidRDefault="00CC7963">
      <w:pPr>
        <w:pStyle w:val="Standard"/>
        <w:ind w:left="1440"/>
      </w:pPr>
      <w:r>
        <w:t>I concimi di origine naturale letame, pollina, liquame</w:t>
      </w:r>
    </w:p>
    <w:p w:rsidR="00F6674F" w:rsidRDefault="00CC7963">
      <w:pPr>
        <w:pStyle w:val="Standard"/>
        <w:ind w:left="1440"/>
      </w:pPr>
      <w:r>
        <w:t>I concimi chimici</w:t>
      </w:r>
    </w:p>
    <w:p w:rsidR="00F6674F" w:rsidRDefault="00CC7963">
      <w:pPr>
        <w:pStyle w:val="Standard"/>
        <w:ind w:left="1440"/>
      </w:pPr>
      <w:r>
        <w:t>I concimi azotati</w:t>
      </w:r>
    </w:p>
    <w:p w:rsidR="00F6674F" w:rsidRDefault="00CC7963">
      <w:pPr>
        <w:pStyle w:val="Standard"/>
        <w:ind w:left="1440"/>
      </w:pPr>
      <w:r>
        <w:t>I concimi fosfatici</w:t>
      </w:r>
    </w:p>
    <w:p w:rsidR="00F6674F" w:rsidRDefault="00CC7963">
      <w:pPr>
        <w:pStyle w:val="Standard"/>
        <w:ind w:left="1440"/>
      </w:pPr>
      <w:r>
        <w:t>I concimi potassici</w:t>
      </w:r>
    </w:p>
    <w:p w:rsidR="00F6674F" w:rsidRDefault="00CC7963">
      <w:pPr>
        <w:pStyle w:val="Standard"/>
        <w:ind w:left="1440"/>
      </w:pPr>
      <w:r>
        <w:t>Concimi binari e ternari</w:t>
      </w:r>
    </w:p>
    <w:p w:rsidR="00F6674F" w:rsidRDefault="00CC7963">
      <w:pPr>
        <w:pStyle w:val="Standard"/>
        <w:ind w:left="1440"/>
      </w:pPr>
      <w:r>
        <w:t>Concimi a lenta cessione</w:t>
      </w:r>
    </w:p>
    <w:p w:rsidR="00F6674F" w:rsidRDefault="00CC7963">
      <w:pPr>
        <w:pStyle w:val="Standard"/>
        <w:ind w:left="1440"/>
      </w:pPr>
      <w:r>
        <w:t xml:space="preserve">Concimi per </w:t>
      </w:r>
      <w:r>
        <w:t>fertilizzazione fogliare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Titolo3"/>
      </w:pPr>
      <w:r>
        <w:t>L’irrigazione</w:t>
      </w:r>
    </w:p>
    <w:p w:rsidR="00F6674F" w:rsidRDefault="00F6674F">
      <w:pPr>
        <w:pStyle w:val="Standard"/>
      </w:pPr>
    </w:p>
    <w:p w:rsidR="00F6674F" w:rsidRDefault="00CC7963">
      <w:pPr>
        <w:pStyle w:val="Standard"/>
        <w:ind w:left="1440"/>
      </w:pPr>
      <w:r>
        <w:t>Gli scopi</w:t>
      </w:r>
    </w:p>
    <w:p w:rsidR="00F6674F" w:rsidRDefault="00CC7963">
      <w:pPr>
        <w:pStyle w:val="Standard"/>
        <w:ind w:left="1440"/>
      </w:pPr>
      <w:r>
        <w:t>L evapotraspirazione, i coefficienti colturali</w:t>
      </w:r>
    </w:p>
    <w:p w:rsidR="00F6674F" w:rsidRDefault="00CC7963">
      <w:pPr>
        <w:pStyle w:val="Standard"/>
        <w:ind w:left="1440"/>
      </w:pPr>
      <w:r>
        <w:t>Il bilancio idrico</w:t>
      </w:r>
    </w:p>
    <w:p w:rsidR="00F6674F" w:rsidRDefault="00CC7963">
      <w:pPr>
        <w:pStyle w:val="Standard"/>
        <w:ind w:left="1440"/>
      </w:pPr>
      <w:r>
        <w:t>Le costanti ideologiche</w:t>
      </w:r>
    </w:p>
    <w:p w:rsidR="00F6674F" w:rsidRDefault="00CC7963">
      <w:pPr>
        <w:pStyle w:val="Standard"/>
        <w:ind w:left="1440"/>
      </w:pPr>
      <w:r>
        <w:t>I sistemi irrigui</w:t>
      </w:r>
    </w:p>
    <w:p w:rsidR="00F6674F" w:rsidRDefault="00CC7963">
      <w:pPr>
        <w:pStyle w:val="Standard"/>
        <w:ind w:left="1440"/>
      </w:pPr>
      <w:r>
        <w:t>L’efficienza irrigua.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Titolo2"/>
        <w:rPr>
          <w:b/>
          <w:bCs/>
          <w:sz w:val="24"/>
        </w:rPr>
      </w:pPr>
      <w:r>
        <w:rPr>
          <w:b/>
          <w:bCs/>
          <w:sz w:val="24"/>
        </w:rPr>
        <w:t>Il diserbo</w:t>
      </w:r>
    </w:p>
    <w:p w:rsidR="00F6674F" w:rsidRDefault="00F6674F">
      <w:pPr>
        <w:pStyle w:val="Standard"/>
      </w:pPr>
    </w:p>
    <w:p w:rsidR="00F6674F" w:rsidRDefault="00CC7963">
      <w:pPr>
        <w:pStyle w:val="Standard"/>
        <w:ind w:left="1440"/>
      </w:pPr>
      <w:r>
        <w:t>Le erbe infestanti, classificazione</w:t>
      </w:r>
    </w:p>
    <w:p w:rsidR="00F6674F" w:rsidRDefault="00CC7963">
      <w:pPr>
        <w:pStyle w:val="Standard"/>
        <w:ind w:left="1440"/>
      </w:pPr>
      <w:r>
        <w:t xml:space="preserve">Mezzi di lotta diretti e </w:t>
      </w:r>
      <w:r>
        <w:t>indiretti</w:t>
      </w:r>
    </w:p>
    <w:p w:rsidR="00F6674F" w:rsidRDefault="00CC7963">
      <w:pPr>
        <w:pStyle w:val="Standard"/>
        <w:ind w:left="1440"/>
      </w:pPr>
      <w:r>
        <w:t>Erbicidi modalità di azione, epoche d’intervento</w:t>
      </w:r>
    </w:p>
    <w:p w:rsidR="00F6674F" w:rsidRDefault="00CC7963">
      <w:pPr>
        <w:pStyle w:val="Standard"/>
        <w:ind w:left="1440"/>
      </w:pPr>
      <w:r>
        <w:t>La resistenza</w:t>
      </w:r>
    </w:p>
    <w:p w:rsidR="00F6674F" w:rsidRDefault="00CC7963">
      <w:pPr>
        <w:pStyle w:val="Standard"/>
        <w:ind w:left="1440"/>
      </w:pPr>
      <w:r>
        <w:t>Mezzi di lotta fisici, meccanici, biologici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Titolo1"/>
        <w:ind w:left="1440"/>
      </w:pPr>
      <w:r>
        <w:t>Le rotazioni agrarie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Gli avvicendamenti e le rotazioni</w:t>
      </w:r>
    </w:p>
    <w:p w:rsidR="00F6674F" w:rsidRDefault="00CC7963">
      <w:pPr>
        <w:pStyle w:val="Standard"/>
        <w:ind w:left="1440"/>
      </w:pPr>
      <w:r>
        <w:t>Monocoltura  e monosuccesione aspetti critici</w:t>
      </w:r>
    </w:p>
    <w:p w:rsidR="00F6674F" w:rsidRDefault="00CC7963">
      <w:pPr>
        <w:pStyle w:val="Standard"/>
        <w:ind w:left="1440"/>
        <w:rPr>
          <w:u w:val="single"/>
        </w:rPr>
      </w:pPr>
      <w:r>
        <w:rPr>
          <w:u w:val="single"/>
        </w:rPr>
        <w:t xml:space="preserve"> </w:t>
      </w: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CC7963">
      <w:pPr>
        <w:pStyle w:val="Titolo1"/>
        <w:ind w:left="1440"/>
      </w:pPr>
      <w:r>
        <w:t>Colture erbacee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 xml:space="preserve">Frumento </w:t>
      </w:r>
      <w:r>
        <w:t>tenero e duro</w:t>
      </w:r>
    </w:p>
    <w:p w:rsidR="00F6674F" w:rsidRDefault="00CC7963">
      <w:pPr>
        <w:pStyle w:val="Standard"/>
        <w:ind w:left="1440"/>
      </w:pPr>
      <w:r>
        <w:t>Ciclo vegetativo e riproduttivo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 ed aspetti qualitativi</w:t>
      </w:r>
    </w:p>
    <w:p w:rsidR="00F6674F" w:rsidRDefault="00CC7963">
      <w:pPr>
        <w:pStyle w:val="Standard"/>
        <w:ind w:left="1440"/>
      </w:pPr>
      <w:r>
        <w:t>Miglioramento genetico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Orzo</w:t>
      </w:r>
    </w:p>
    <w:p w:rsidR="00F6674F" w:rsidRDefault="00CC7963">
      <w:pPr>
        <w:pStyle w:val="Standard"/>
        <w:ind w:left="1440"/>
      </w:pPr>
      <w:r>
        <w:t>Morfologia e ciclo 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</w:t>
      </w:r>
    </w:p>
    <w:p w:rsidR="00F6674F" w:rsidRDefault="00CC7963">
      <w:pPr>
        <w:pStyle w:val="Standard"/>
        <w:ind w:left="1440"/>
      </w:pPr>
      <w:r>
        <w:t>Miglioramento genetico</w:t>
      </w:r>
    </w:p>
    <w:p w:rsidR="00F6674F" w:rsidRDefault="00F6674F">
      <w:pPr>
        <w:pStyle w:val="Standard"/>
        <w:ind w:left="1440"/>
        <w:rPr>
          <w:u w:val="single"/>
        </w:rPr>
      </w:pPr>
    </w:p>
    <w:p w:rsidR="00F6674F" w:rsidRDefault="00CC7963">
      <w:pPr>
        <w:pStyle w:val="Standard"/>
        <w:ind w:left="1440"/>
      </w:pPr>
      <w:r>
        <w:t>Avena e segale</w:t>
      </w:r>
    </w:p>
    <w:p w:rsidR="00F6674F" w:rsidRDefault="00CC7963">
      <w:pPr>
        <w:pStyle w:val="Standard"/>
        <w:ind w:left="1440"/>
      </w:pPr>
      <w:r>
        <w:t>Caratteri botanici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Il triticale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 e riproduttivo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</w:t>
      </w:r>
    </w:p>
    <w:p w:rsidR="00F6674F" w:rsidRDefault="00CC7963">
      <w:pPr>
        <w:pStyle w:val="Standard"/>
        <w:ind w:left="1440"/>
      </w:pPr>
      <w:r>
        <w:t>Miglioramento genetico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Il sorgo da granella e da foraggio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 e riproduttivo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Mais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 e riproduttivo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Utilizzazione</w:t>
      </w:r>
    </w:p>
    <w:p w:rsidR="00F6674F" w:rsidRDefault="00CC7963">
      <w:pPr>
        <w:pStyle w:val="Standard"/>
        <w:ind w:left="1440"/>
      </w:pPr>
      <w:r>
        <w:t>Miglioramento genetico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Soia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 e r</w:t>
      </w:r>
      <w:r>
        <w:t>iproduttivo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lastRenderedPageBreak/>
        <w:t>Tecnica colturale</w:t>
      </w:r>
    </w:p>
    <w:p w:rsidR="00F6674F" w:rsidRDefault="00CC7963">
      <w:pPr>
        <w:pStyle w:val="Standard"/>
        <w:ind w:left="1440"/>
      </w:pPr>
      <w:r>
        <w:t>Utilizzazione e trasformazione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Colture foraggere</w:t>
      </w:r>
    </w:p>
    <w:p w:rsidR="00F6674F" w:rsidRDefault="00CC7963">
      <w:pPr>
        <w:pStyle w:val="Standard"/>
        <w:ind w:left="1440"/>
      </w:pPr>
      <w:r>
        <w:t>Classificazione e principali foraggere coltivate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Erba medica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Raccolta, qualità,utilizzi</w:t>
      </w:r>
      <w:r>
        <w:t xml:space="preserve"> e trasformazione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Loiessa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Raccolta, qualità,utilizzi e trasformazione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Patata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Raccolta, qualità,utilizzi e trasformazione</w:t>
      </w:r>
    </w:p>
    <w:p w:rsidR="00F6674F" w:rsidRDefault="00F6674F">
      <w:pPr>
        <w:pStyle w:val="Standard"/>
        <w:ind w:left="1440"/>
      </w:pPr>
    </w:p>
    <w:p w:rsidR="00F6674F" w:rsidRDefault="00CC7963">
      <w:pPr>
        <w:pStyle w:val="Standard"/>
        <w:ind w:left="1440"/>
      </w:pPr>
      <w:r>
        <w:t>Pomodoro</w:t>
      </w:r>
    </w:p>
    <w:p w:rsidR="00F6674F" w:rsidRDefault="00CC7963">
      <w:pPr>
        <w:pStyle w:val="Standard"/>
        <w:ind w:left="1440"/>
      </w:pPr>
      <w:r>
        <w:t>Morfologia</w:t>
      </w:r>
    </w:p>
    <w:p w:rsidR="00F6674F" w:rsidRDefault="00CC7963">
      <w:pPr>
        <w:pStyle w:val="Standard"/>
        <w:ind w:left="1440"/>
      </w:pPr>
      <w:r>
        <w:t>Ciclo vegetativo</w:t>
      </w:r>
    </w:p>
    <w:p w:rsidR="00F6674F" w:rsidRDefault="00CC7963">
      <w:pPr>
        <w:pStyle w:val="Standard"/>
        <w:ind w:left="1440"/>
      </w:pPr>
      <w:r>
        <w:t>Esigenze ambientali</w:t>
      </w:r>
    </w:p>
    <w:p w:rsidR="00F6674F" w:rsidRDefault="00CC7963">
      <w:pPr>
        <w:pStyle w:val="Standard"/>
        <w:ind w:left="1440"/>
      </w:pPr>
      <w:r>
        <w:t>Tecnica colturale</w:t>
      </w:r>
    </w:p>
    <w:p w:rsidR="00F6674F" w:rsidRDefault="00CC7963">
      <w:pPr>
        <w:pStyle w:val="Standard"/>
        <w:ind w:left="1440"/>
      </w:pPr>
      <w:r>
        <w:t>Raccolta, qualità,utilizzi e trasformazione</w:t>
      </w:r>
    </w:p>
    <w:p w:rsidR="00F6674F" w:rsidRDefault="00F6674F">
      <w:pPr>
        <w:pStyle w:val="Standard"/>
        <w:ind w:left="1440"/>
      </w:pPr>
    </w:p>
    <w:p w:rsidR="00F6674F" w:rsidRDefault="00F6674F">
      <w:pPr>
        <w:pStyle w:val="Standard"/>
      </w:pPr>
    </w:p>
    <w:p w:rsidR="00F6674F" w:rsidRDefault="00F6674F">
      <w:pPr>
        <w:pStyle w:val="Standard"/>
      </w:pPr>
    </w:p>
    <w:p w:rsidR="00F6674F" w:rsidRDefault="00CC7963">
      <w:pPr>
        <w:pStyle w:val="Standard"/>
        <w:rPr>
          <w:sz w:val="22"/>
        </w:rPr>
      </w:pPr>
      <w:r>
        <w:rPr>
          <w:sz w:val="22"/>
        </w:rPr>
        <w:t>Bergamo, 31 maggio 2017</w:t>
      </w:r>
    </w:p>
    <w:p w:rsidR="00F6674F" w:rsidRDefault="00F6674F">
      <w:pPr>
        <w:pStyle w:val="Standard"/>
        <w:rPr>
          <w:sz w:val="22"/>
        </w:rPr>
      </w:pPr>
    </w:p>
    <w:p w:rsidR="00F6674F" w:rsidRDefault="00F6674F">
      <w:pPr>
        <w:pStyle w:val="Standard"/>
        <w:rPr>
          <w:sz w:val="22"/>
        </w:rPr>
      </w:pPr>
    </w:p>
    <w:p w:rsidR="00F6674F" w:rsidRDefault="00F6674F">
      <w:pPr>
        <w:pStyle w:val="Standard"/>
        <w:rPr>
          <w:sz w:val="22"/>
        </w:rPr>
      </w:pPr>
    </w:p>
    <w:p w:rsidR="00F6674F" w:rsidRDefault="00F6674F">
      <w:pPr>
        <w:pStyle w:val="Standard"/>
        <w:rPr>
          <w:sz w:val="22"/>
        </w:rPr>
      </w:pPr>
    </w:p>
    <w:p w:rsidR="00F6674F" w:rsidRDefault="00CC7963">
      <w:pPr>
        <w:pStyle w:val="Standard"/>
      </w:pPr>
      <w:r>
        <w:t>Firma del docente ____________________</w:t>
      </w:r>
      <w:r>
        <w:tab/>
      </w:r>
      <w:r>
        <w:tab/>
        <w:t xml:space="preserve">Firma degli allievi  </w:t>
      </w:r>
      <w:r>
        <w:tab/>
        <w:t>1) ___________________</w:t>
      </w:r>
    </w:p>
    <w:p w:rsidR="00F6674F" w:rsidRDefault="00F6674F">
      <w:pPr>
        <w:pStyle w:val="Standard"/>
      </w:pPr>
    </w:p>
    <w:p w:rsidR="00F6674F" w:rsidRDefault="00F6674F">
      <w:pPr>
        <w:pStyle w:val="Standard"/>
      </w:pPr>
    </w:p>
    <w:p w:rsidR="00F6674F" w:rsidRDefault="00CC796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  <w:r>
        <w:t>___________________</w:t>
      </w:r>
    </w:p>
    <w:p w:rsidR="00F6674F" w:rsidRDefault="00F6674F">
      <w:pPr>
        <w:pStyle w:val="Standard"/>
        <w:ind w:left="1080"/>
        <w:rPr>
          <w:sz w:val="20"/>
        </w:rPr>
      </w:pPr>
    </w:p>
    <w:p w:rsidR="00F6674F" w:rsidRDefault="00F6674F">
      <w:pPr>
        <w:pStyle w:val="Standard"/>
        <w:ind w:left="1080"/>
        <w:rPr>
          <w:sz w:val="20"/>
        </w:rPr>
      </w:pPr>
    </w:p>
    <w:p w:rsidR="00F6674F" w:rsidRDefault="00F6674F">
      <w:pPr>
        <w:pStyle w:val="Standard"/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  <w:rPr>
          <w:u w:val="single"/>
        </w:rPr>
      </w:pPr>
    </w:p>
    <w:p w:rsidR="00F6674F" w:rsidRDefault="00F6674F">
      <w:pPr>
        <w:pStyle w:val="Standard"/>
      </w:pPr>
    </w:p>
    <w:sectPr w:rsidR="00F6674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C7963">
      <w:r>
        <w:separator/>
      </w:r>
    </w:p>
  </w:endnote>
  <w:endnote w:type="continuationSeparator" w:id="0">
    <w:p w:rsidR="00000000" w:rsidRDefault="00CC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C7963">
      <w:r>
        <w:rPr>
          <w:color w:val="000000"/>
        </w:rPr>
        <w:separator/>
      </w:r>
    </w:p>
  </w:footnote>
  <w:footnote w:type="continuationSeparator" w:id="0">
    <w:p w:rsidR="00000000" w:rsidRDefault="00CC7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674F"/>
    <w:rsid w:val="00CC7963"/>
    <w:rsid w:val="00F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1EDD9-0EB6-4C87-871C-F8B5C1F6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Titolo2">
    <w:name w:val="heading 2"/>
    <w:basedOn w:val="Standard"/>
    <w:next w:val="Standard"/>
    <w:pPr>
      <w:keepNext/>
      <w:ind w:left="1440"/>
      <w:outlineLvl w:val="1"/>
    </w:pPr>
    <w:rPr>
      <w:sz w:val="28"/>
    </w:rPr>
  </w:style>
  <w:style w:type="paragraph" w:styleId="Titolo3">
    <w:name w:val="heading 3"/>
    <w:basedOn w:val="Standard"/>
    <w:next w:val="Standard"/>
    <w:pPr>
      <w:keepNext/>
      <w:ind w:left="1440"/>
      <w:outlineLvl w:val="2"/>
    </w:pPr>
    <w:rPr>
      <w:b/>
      <w:bCs/>
    </w:rPr>
  </w:style>
  <w:style w:type="paragraph" w:styleId="Titolo4">
    <w:name w:val="heading 4"/>
    <w:basedOn w:val="Standard"/>
    <w:next w:val="Standard"/>
    <w:pPr>
      <w:keepNext/>
      <w:jc w:val="both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Mario Rigoni Stern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Scaffidi</dc:creator>
  <cp:lastModifiedBy>Carmelo Scaffidi</cp:lastModifiedBy>
  <cp:revision>2</cp:revision>
  <cp:lastPrinted>2015-06-05T12:40:00Z</cp:lastPrinted>
  <dcterms:created xsi:type="dcterms:W3CDTF">2017-06-10T08:56:00Z</dcterms:created>
  <dcterms:modified xsi:type="dcterms:W3CDTF">2017-06-10T08:56:00Z</dcterms:modified>
</cp:coreProperties>
</file>