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1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DOCENTE</w:t>
            <w:tab/>
            <w:t xml:space="preserve">FORLANI GIANPIERO </w:t>
            <w:tab/>
            <w:t xml:space="preserve">DISCIPLINA IRC</w:t>
            <w:tab/>
            <w:tab/>
            <w:t xml:space="preserve">CLASSE </w:t>
          </w: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2F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PROGRAMMA ED ARGOMENTI TRATTATI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720" w:hanging="360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IL NUOVO TESTAMENTO</w:t>
          </w:r>
          <w:r w:rsidDel="00000000" w:rsidR="00000000" w:rsidRPr="00000000">
            <w:rPr>
              <w:sz w:val="22"/>
              <w:szCs w:val="22"/>
              <w:rtl w:val="0"/>
            </w:rPr>
            <w:t xml:space="preserve">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720" w:firstLine="0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Approccio al Vangelo. Competenze, conoscenze, desiderio di confronto e dialogo.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Esistenza di Gesù: criteri di storicità e ricerca storica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Calendari e introduzione alla formazione vangeli. Lo schema religioso ebraico all'epoca di Gesù.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Il messaggio di Giovanni e la conversione. Il messaggio di Gesù e il Regno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Il messaggio del Regno di Dio e la gratuità dell'amore.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La resurrezione e il kerigma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Verità storiche e simboliche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Calendario e linea temoporale nascita di Gesù. Natale e 25 dicembre. Il presepe e l'albero.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Religione del Tempio, Religione della conversione (Battista), Gesù e il Regno di Dio.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Miracoli. Affidamento e ragione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Lettura di un vangelo e raccolta delle domande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Dialogo a partire dalle domande suscitate dalla lettura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Moltiplicazione dei pani e dei pesci. La possibilità della condivisione e il miracolo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Vocazione e ricerca. Vangeli ed espressioni letterarie. I 40 giorni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Concepimento di Gesù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Angeli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Gesù e la famiglia.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Gesù e il sabato per l'umanità.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Amore come risposta ai bisogni e non ai meriti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La rabbia di Gesù e le accuse dei farisei. Il potere e l'infangamento dell'immagine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Il lebbroso. Peccato ed esclusione sociale.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Satan, Diavolo, Lucifero. Significati e simboli.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Il terzo giorno.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numPr>
              <w:ilvl w:val="2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Creazione e origine del mondo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firstLine="0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440" w:firstLine="0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numPr>
              <w:ilvl w:val="0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72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NUOVO TESTAMENTO E ATTUALITA'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720" w:firstLine="0"/>
            <w:rPr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Punti di vista e supporto delle opinioni. Laicità e libertà religiosa in Italia.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 Il colore della pelle di Gesù e la raffigurazione culturale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Tappe storiche IRC e rapporti Stato/Chiesa: patti lateranensi, resistenza e costituzione, Concilio, Concordato, 8x1000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La celebrazione dell'eucarestia. Rapporto tra cultura e religione.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Gesù e la Maddalena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Preti, Sacerdoti, Celibato. Ruolo del prete e ruolo del pastore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La dichiarazione dei diritti umani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Memoria, profondità, attualità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Sacerdozio, celibato e questione femminile. Fede e ateismo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Cambiamento climatico, scelte personali, trasformazione sociale e politica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Dio - agnosticismo - creazione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Rapporto con il luogo e le sue forme di vita. Cibarsi, espressione dei bisogni oltre l'antropocentrismo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Dietro all'espressione Dio: Portafortuna, mago, Amore, odio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1080" w:hanging="360"/>
            <w:rPr>
              <w:rFonts w:ascii="Times New Roman" w:cs="Times New Roman" w:eastAsia="Times New Roman" w:hAnsi="Times New Roman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proibizionismo e legalizzazione: questioni aperte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Bergamo, 2</w:t>
          </w:r>
          <w:r w:rsidDel="00000000" w:rsidR="00000000" w:rsidRPr="00000000">
            <w:rPr>
              <w:sz w:val="22"/>
              <w:szCs w:val="22"/>
              <w:rtl w:val="0"/>
            </w:rPr>
            <w:t xml:space="preserve">7</w:t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/05/2019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Firma del docente ____________________</w:t>
            <w:tab/>
            <w:t xml:space="preserve">Firma degli allievi  </w:t>
            <w:tab/>
            <w:t xml:space="preserve">1) ___________________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ab/>
            <w:tab/>
            <w:tab/>
            <w:tab/>
            <w:tab/>
            <w:tab/>
            <w:tab/>
            <w:tab/>
            <w:t xml:space="preserve">2) ___________________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footerReference r:id="rId8" w:type="default"/>
      <w:footerReference r:id="rId9" w:type="even"/>
      <w:pgSz w:h="16838" w:w="11906"/>
      <w:pgMar w:bottom="794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Wingdings 2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7"/>
    </w:sdtPr>
    <w:sdtContent>
      <w:p w:rsidR="00000000" w:rsidDel="00000000" w:rsidP="00000000" w:rsidRDefault="00000000" w:rsidRPr="00000000" w14:paraId="0000004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righ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Pagina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 di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  <w:fldChar w:fldCharType="begin"/>
          <w:instrText xml:space="preserve">NUMPAGES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68"/>
    </w:sdtPr>
    <w:sdtContent>
      <w:p w:rsidR="00000000" w:rsidDel="00000000" w:rsidP="00000000" w:rsidRDefault="00000000" w:rsidRPr="00000000" w14:paraId="0000004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69"/>
    </w:sdtPr>
    <w:sdtContent>
      <w:p w:rsidR="00000000" w:rsidDel="00000000" w:rsidP="00000000" w:rsidRDefault="00000000" w:rsidRPr="00000000" w14:paraId="0000004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70"/>
    </w:sdtPr>
    <w:sdtContent>
      <w:p w:rsidR="00000000" w:rsidDel="00000000" w:rsidP="00000000" w:rsidRDefault="00000000" w:rsidRPr="00000000" w14:paraId="0000004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71"/>
    </w:sdtPr>
    <w:sdtContent>
      <w:p w:rsidR="00000000" w:rsidDel="00000000" w:rsidP="00000000" w:rsidRDefault="00000000" w:rsidRPr="00000000" w14:paraId="0000004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72"/>
    </w:sdtPr>
    <w:sdtContent>
      <w:p w:rsidR="00000000" w:rsidDel="00000000" w:rsidP="00000000" w:rsidRDefault="00000000" w:rsidRPr="00000000" w14:paraId="0000004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8"/>
    </w:sdtPr>
    <w:sdtContent>
      <w:p w:rsidR="00000000" w:rsidDel="00000000" w:rsidP="00000000" w:rsidRDefault="00000000" w:rsidRPr="00000000" w14:paraId="0000003B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76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tbl>
    <w:tblPr>
      <w:tblStyle w:val="Table1"/>
      <w:tblW w:w="98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854"/>
      <w:tblGridChange w:id="0">
        <w:tblGrid>
          <w:gridCol w:w="9854"/>
        </w:tblGrid>
      </w:tblGridChange>
    </w:tblGrid>
    <w:tr>
      <w:trPr>
        <w:trHeight w:val="190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center"/>
        </w:tcPr>
        <w:sdt>
          <w:sdtPr>
            <w:tag w:val="goog_rdk_59"/>
          </w:sdtPr>
          <w:sdtContent>
            <w:p w:rsidR="00000000" w:rsidDel="00000000" w:rsidP="00000000" w:rsidRDefault="00000000" w:rsidRPr="00000000" w14:paraId="0000003C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</w:rPr>
                <w:drawing>
                  <wp:inline distB="0" distT="0" distL="114300" distR="114300">
                    <wp:extent cx="307340" cy="351790"/>
                    <wp:effectExtent b="0" l="0" r="0" t="0"/>
                    <wp:docPr id="1026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7340" cy="35179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  <w:r w:rsidDel="00000000" w:rsidR="00000000" w:rsidRPr="00000000">
                <w:rPr>
                  <w:rtl w:val="0"/>
                </w:rPr>
              </w:r>
              <w:r w:rsidDel="00000000" w:rsidR="00000000" w:rsidRPr="00000000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309880</wp:posOffset>
                    </wp:positionV>
                    <wp:extent cx="659765" cy="720090"/>
                    <wp:effectExtent b="0" l="0" r="0" t="0"/>
                    <wp:wrapNone/>
                    <wp:docPr id="1027" name="image2.jpg"/>
                    <a:graphic>
                      <a:graphicData uri="http://schemas.openxmlformats.org/drawingml/2006/picture">
                        <pic:pic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59765" cy="72009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  <w:sdt>
          <w:sdtPr>
            <w:tag w:val="goog_rdk_60"/>
          </w:sdtPr>
          <w:sdtContent>
            <w:p w:rsidR="00000000" w:rsidDel="00000000" w:rsidP="00000000" w:rsidRDefault="00000000" w:rsidRPr="00000000" w14:paraId="0000003D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Ministero della Pubblica Istruzione</w:t>
              </w:r>
            </w:p>
          </w:sdtContent>
        </w:sdt>
        <w:sdt>
          <w:sdtPr>
            <w:tag w:val="goog_rdk_61"/>
          </w:sdtPr>
          <w:sdtContent>
            <w:p w:rsidR="00000000" w:rsidDel="00000000" w:rsidP="00000000" w:rsidRDefault="00000000" w:rsidRPr="00000000" w14:paraId="0000003E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I.I.S. Mario Rigoni Stern</w:t>
              </w:r>
            </w:p>
          </w:sdtContent>
        </w:sdt>
        <w:sdt>
          <w:sdtPr>
            <w:tag w:val="goog_rdk_62"/>
          </w:sdtPr>
          <w:sdtContent>
            <w:p w:rsidR="00000000" w:rsidDel="00000000" w:rsidP="00000000" w:rsidRDefault="00000000" w:rsidRPr="00000000" w14:paraId="0000003F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Via Borgo Palazzo 128-24125 Bergamo</w:t>
              </w:r>
            </w:p>
          </w:sdtContent>
        </w:sdt>
        <w:sdt>
          <w:sdtPr>
            <w:tag w:val="goog_rdk_63"/>
          </w:sdtPr>
          <w:sdtContent>
            <w:p w:rsidR="00000000" w:rsidDel="00000000" w:rsidP="00000000" w:rsidRDefault="00000000" w:rsidRPr="00000000" w14:paraId="00000040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Wingdings 2" w:cs="Wingdings 2" w:eastAsia="Wingdings 2" w:hAnsi="Wingdings 2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🕾</w:t>
              </w: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035 220213 - </w:t>
              </w:r>
              <w:r w:rsidDel="00000000" w:rsidR="00000000" w:rsidRPr="00000000">
                <w:rPr>
                  <w:rFonts w:ascii="Wingdings 2" w:cs="Wingdings 2" w:eastAsia="Wingdings 2" w:hAnsi="Wingdings 2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🖷</w:t>
              </w: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035 220410</w:t>
              </w:r>
            </w:p>
          </w:sdtContent>
        </w:sdt>
        <w:sdt>
          <w:sdtPr>
            <w:tag w:val="goog_rdk_64"/>
          </w:sdtPr>
          <w:sdtContent>
            <w:p w:rsidR="00000000" w:rsidDel="00000000" w:rsidP="00000000" w:rsidRDefault="00000000" w:rsidRPr="00000000" w14:paraId="00000041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Sito: http://www.iisrigonistern.it-email: BGIS03100L@istruzione.it</w:t>
              </w:r>
              <w:r w:rsidDel="00000000" w:rsidR="00000000" w:rsidRPr="00000000">
                <w:rPr>
                  <w:rtl w:val="0"/>
                </w:rPr>
              </w:r>
            </w:p>
          </w:sdtContent>
        </w:sdt>
      </w:tc>
    </w:tr>
    <w:tr>
      <w:trPr>
        <w:trHeight w:val="160" w:hRule="atLeast"/>
      </w:trPr>
      <w:tc>
        <w:tcPr>
          <w:tcBorders>
            <w:top w:color="000000" w:space="0" w:sz="4" w:val="single"/>
          </w:tcBorders>
          <w:vAlign w:val="center"/>
        </w:tcPr>
        <w:sdt>
          <w:sdtPr>
            <w:tag w:val="goog_rdk_65"/>
          </w:sdtPr>
          <w:sdtContent>
            <w:p w:rsidR="00000000" w:rsidDel="00000000" w:rsidP="00000000" w:rsidRDefault="00000000" w:rsidRPr="00000000" w14:paraId="00000042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PROGRAMMA SVOLTO – ALL. 03/P03</w:t>
              </w:r>
              <w:r w:rsidDel="00000000" w:rsidR="00000000" w:rsidRPr="00000000">
                <w:rPr>
                  <w:rtl w:val="0"/>
                </w:rPr>
              </w:r>
            </w:p>
          </w:sdtContent>
        </w:sdt>
      </w:tc>
    </w:tr>
  </w:tbl>
  <w:sdt>
    <w:sdtPr>
      <w:tag w:val="goog_rdk_66"/>
    </w:sdtPr>
    <w:sdtContent>
      <w:p w:rsidR="00000000" w:rsidDel="00000000" w:rsidP="00000000" w:rsidRDefault="00000000" w:rsidRPr="00000000" w14:paraId="0000004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i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Hu/Uu0JUyotnLMo+J9d2Wj8Jw==">AMUW2mWEG/M6JWOcmvmcEGvigh5Pa9IlmIDq7vxcO1wfGoXrPNjbbGfggtc2+wI/0zfpaBnAsZBR1jihMyuLtN+AkEHDpWQsrFjtgWezs1rtjvmb1n/wFVM=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2019-05-22T19:21:00Z</dcterms:created>
  <dc:creator>ITAS</dc:creator>
</cp:coreProperties>
</file>