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F88" w:rsidRDefault="00836F88">
      <w:pPr>
        <w:pStyle w:val="Standard"/>
        <w:rPr>
          <w:rFonts w:hint="eastAsia"/>
        </w:rPr>
      </w:pPr>
      <w:bookmarkStart w:id="0" w:name="_GoBack"/>
      <w:bookmarkEnd w:id="0"/>
    </w:p>
    <w:tbl>
      <w:tblPr>
        <w:tblW w:w="9864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836F88">
        <w:tblPrEx>
          <w:tblCellMar>
            <w:top w:w="0" w:type="dxa"/>
            <w:bottom w:w="0" w:type="dxa"/>
          </w:tblCellMar>
        </w:tblPrEx>
        <w:trPr>
          <w:trHeight w:val="1916"/>
        </w:trPr>
        <w:tc>
          <w:tcPr>
            <w:tcW w:w="986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F88" w:rsidRDefault="00836F88">
            <w:pPr>
              <w:pStyle w:val="Standard"/>
              <w:jc w:val="center"/>
              <w:rPr>
                <w:rFonts w:hint="eastAsia"/>
                <w:color w:val="000000"/>
              </w:rPr>
            </w:pPr>
          </w:p>
          <w:p w:rsidR="00836F88" w:rsidRDefault="002C7D8F">
            <w:pPr>
              <w:pStyle w:val="Standard"/>
              <w:jc w:val="center"/>
              <w:rPr>
                <w:rFonts w:ascii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hAnsi="Verdana" w:cs="Verdana"/>
                <w:color w:val="000000"/>
                <w:sz w:val="22"/>
                <w:szCs w:val="22"/>
              </w:rPr>
              <w:t>Ministero della Pubblica Istruzione</w:t>
            </w:r>
          </w:p>
          <w:p w:rsidR="00836F88" w:rsidRDefault="002C7D8F">
            <w:pPr>
              <w:pStyle w:val="Standard"/>
              <w:jc w:val="center"/>
              <w:rPr>
                <w:rFonts w:ascii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hAnsi="Verdana" w:cs="Verdana"/>
                <w:color w:val="000000"/>
                <w:sz w:val="22"/>
                <w:szCs w:val="22"/>
              </w:rPr>
              <w:t>I.I.S. Mario Rigoni Stern</w:t>
            </w:r>
          </w:p>
          <w:p w:rsidR="00836F88" w:rsidRDefault="002C7D8F">
            <w:pPr>
              <w:pStyle w:val="Standard"/>
              <w:jc w:val="center"/>
              <w:rPr>
                <w:rFonts w:ascii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hAnsi="Verdana" w:cs="Verdana"/>
                <w:color w:val="000000"/>
                <w:sz w:val="22"/>
                <w:szCs w:val="22"/>
              </w:rPr>
              <w:t>Via Borgo Palazzo 128-24125 Bergamo</w:t>
            </w:r>
          </w:p>
          <w:p w:rsidR="00836F88" w:rsidRDefault="002C7D8F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Wingdings 2" w:hAnsi="Wingdings 2"/>
                <w:sz w:val="22"/>
                <w:szCs w:val="22"/>
              </w:rPr>
              <w:t>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  <w:r>
              <w:rPr>
                <w:rFonts w:ascii="Verdana" w:hAnsi="Verdana" w:cs="Verdana"/>
                <w:sz w:val="22"/>
                <w:szCs w:val="22"/>
              </w:rPr>
              <w:t xml:space="preserve">035 220213 - </w:t>
            </w:r>
            <w:r>
              <w:rPr>
                <w:rFonts w:ascii="Wingdings 2" w:hAnsi="Wingdings 2"/>
                <w:sz w:val="22"/>
                <w:szCs w:val="22"/>
              </w:rPr>
              <w:t></w:t>
            </w:r>
            <w:r>
              <w:rPr>
                <w:rFonts w:ascii="Verdana" w:hAnsi="Verdana" w:cs="Verdana"/>
                <w:sz w:val="22"/>
                <w:szCs w:val="22"/>
              </w:rPr>
              <w:t xml:space="preserve"> 035 220410</w:t>
            </w:r>
          </w:p>
          <w:p w:rsidR="00836F88" w:rsidRDefault="002C7D8F">
            <w:pPr>
              <w:pStyle w:val="Standard"/>
              <w:jc w:val="center"/>
              <w:rPr>
                <w:rFonts w:ascii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hAnsi="Verdana" w:cs="Verdana"/>
                <w:color w:val="000000"/>
                <w:sz w:val="22"/>
                <w:szCs w:val="22"/>
              </w:rPr>
              <w:t>Sito: http://www.iisrigonistern.it-email: BGIS03100L@istruzione.it</w:t>
            </w:r>
          </w:p>
        </w:tc>
      </w:tr>
      <w:tr w:rsidR="00836F88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F88" w:rsidRDefault="002C7D8F">
            <w:pPr>
              <w:pStyle w:val="Standard"/>
              <w:jc w:val="center"/>
              <w:rPr>
                <w:rFonts w:ascii="Verdana" w:eastAsia="Batang, 바탕" w:hAnsi="Verdana" w:cs="Verdana"/>
                <w:b/>
                <w:bCs/>
              </w:rPr>
            </w:pPr>
            <w:r>
              <w:rPr>
                <w:rFonts w:ascii="Verdana" w:eastAsia="Batang, 바탕" w:hAnsi="Verdana" w:cs="Verdana"/>
                <w:b/>
                <w:bCs/>
              </w:rPr>
              <w:t>PROGRAMMA SVOLTO – ALL. 03/P03</w:t>
            </w:r>
          </w:p>
        </w:tc>
      </w:tr>
    </w:tbl>
    <w:p w:rsidR="00836F88" w:rsidRDefault="00836F88">
      <w:pPr>
        <w:pStyle w:val="Standard"/>
        <w:rPr>
          <w:rFonts w:hint="eastAsia"/>
          <w:b/>
          <w:bCs/>
          <w:sz w:val="28"/>
          <w:szCs w:val="28"/>
        </w:rPr>
      </w:pPr>
    </w:p>
    <w:p w:rsidR="00836F88" w:rsidRDefault="002C7D8F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Docente: Paolo Baggi</w:t>
      </w:r>
      <w:r>
        <w:rPr>
          <w:b/>
          <w:bCs/>
          <w:sz w:val="28"/>
          <w:szCs w:val="28"/>
        </w:rPr>
        <w:t xml:space="preserve">                     Produzioni Vegetali                  Classe 3A</w:t>
      </w:r>
    </w:p>
    <w:p w:rsidR="00836F88" w:rsidRDefault="00836F88">
      <w:pPr>
        <w:pStyle w:val="Standard"/>
        <w:rPr>
          <w:rFonts w:hint="eastAsia"/>
          <w:b/>
          <w:bCs/>
          <w:sz w:val="28"/>
          <w:szCs w:val="28"/>
        </w:rPr>
      </w:pPr>
    </w:p>
    <w:p w:rsidR="00836F88" w:rsidRDefault="002C7D8F">
      <w:pPr>
        <w:pStyle w:val="Titolo1"/>
        <w:ind w:left="1440"/>
        <w:rPr>
          <w:rFonts w:hint="eastAsia"/>
        </w:rPr>
      </w:pPr>
      <w:r>
        <w:t>Il suolo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Il suolo, pedogenesi.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Agenti della pedogenesi.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Profilo del suolo.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Fasi del suolo.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Rapporto C/N.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Organismi del suolo: batteri, funghi ,alghe , macro e microfauna.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 xml:space="preserve">La </w:t>
      </w:r>
      <w:r>
        <w:t>tessitura.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 xml:space="preserve">Le caratteristiche dei diversi suoli.  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La struttura.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Formazione e distruzione struttura.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Tenacità, plasticità,tempera.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Colore.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Giacitura.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Esposizione.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CSC. Potere tampone,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Il Ph: suoli acidi, neutri,basici.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Correzione suoli acidi e</w:t>
      </w:r>
      <w:r>
        <w:t xml:space="preserve"> basici.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Potere tampone, salinità.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L'acqua nel suolo.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Aria nel suolo.</w:t>
      </w:r>
    </w:p>
    <w:p w:rsidR="00836F88" w:rsidRDefault="00836F88">
      <w:pPr>
        <w:pStyle w:val="TableContents"/>
        <w:tabs>
          <w:tab w:val="left" w:pos="1470"/>
        </w:tabs>
        <w:ind w:left="1440"/>
        <w:rPr>
          <w:rFonts w:hint="eastAsia"/>
        </w:rPr>
      </w:pP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  <w:b/>
          <w:bCs/>
        </w:rPr>
      </w:pPr>
      <w:r>
        <w:rPr>
          <w:b/>
          <w:bCs/>
        </w:rPr>
        <w:t>Il motore endotermico.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Il motore endotermico, cicli e fasi.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Elementi caratteristici motori.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Il sistema di lubrificazione.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Gli oli, classificazione.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Impianto raffreddamento aria acqua,</w:t>
      </w:r>
      <w:r>
        <w:t xml:space="preserve"> misto aria/olio.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Filtri e filtrazione aria 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Il turbocompressore.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Impianto alimentazione diesel.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Iniezione diretta e indiretta.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Common rail; multi jet.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Impianto alimentazione motori benzina.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Carburatori ed impianti iniezione elettronica.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 carburanti, b</w:t>
      </w:r>
      <w:r>
        <w:t>enzina, gasolio, gas, classificazione qualitativa.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Impianto accensione.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Marmitta catalitica,FAP e SGR.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Normativa  antinquinamento.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Classificazione euro.</w:t>
      </w:r>
    </w:p>
    <w:p w:rsidR="00836F88" w:rsidRDefault="00836F88">
      <w:pPr>
        <w:pStyle w:val="TableContents"/>
        <w:tabs>
          <w:tab w:val="left" w:pos="1470"/>
        </w:tabs>
        <w:ind w:left="1440"/>
        <w:rPr>
          <w:rFonts w:hint="eastAsia"/>
        </w:rPr>
      </w:pP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  <w:b/>
          <w:bCs/>
        </w:rPr>
      </w:pPr>
      <w:r>
        <w:rPr>
          <w:b/>
          <w:bCs/>
        </w:rPr>
        <w:t>La trattrice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La trattrice,tipologie.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Frizione, trasmissione, tipologie.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Lo sterzo.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 xml:space="preserve">Impianto </w:t>
      </w:r>
      <w:r>
        <w:t>frenante, tipologie freni.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Differenziale.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Semiassi, riduttori finali.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L’ anticipo di trazione.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Organi di propulsione.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Il sollevamento.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L'attacco a tre punti.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 sistemi idraulici.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Il Gancio di traino.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Riduzione vibrazioni.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La sicurezza.</w:t>
      </w:r>
    </w:p>
    <w:p w:rsidR="00836F88" w:rsidRDefault="00836F88">
      <w:pPr>
        <w:pStyle w:val="TableContents"/>
        <w:tabs>
          <w:tab w:val="left" w:pos="1470"/>
        </w:tabs>
        <w:ind w:left="1440"/>
        <w:rPr>
          <w:rFonts w:hint="eastAsia"/>
        </w:rPr>
      </w:pP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  <w:b/>
          <w:bCs/>
        </w:rPr>
      </w:pPr>
      <w:r>
        <w:rPr>
          <w:b/>
          <w:bCs/>
        </w:rPr>
        <w:t xml:space="preserve">Le </w:t>
      </w:r>
      <w:r>
        <w:rPr>
          <w:b/>
          <w:bCs/>
        </w:rPr>
        <w:t>sistemazioni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Le sistemazioni idraulico agrarie di collina.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Le sistemazioni idraulico agrarie di pianura.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>Bonifiche agrarie.</w:t>
      </w:r>
    </w:p>
    <w:p w:rsidR="00836F88" w:rsidRDefault="002C7D8F">
      <w:pPr>
        <w:pStyle w:val="TableContents"/>
        <w:rPr>
          <w:rFonts w:hint="eastAsia"/>
        </w:rPr>
      </w:pPr>
      <w:r>
        <w:t xml:space="preserve"> 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  <w:b/>
          <w:bCs/>
        </w:rPr>
      </w:pPr>
      <w:r>
        <w:rPr>
          <w:b/>
          <w:bCs/>
        </w:rPr>
        <w:t>Le lavorazioni dei terreni.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I lavori preliminari, macchine per decespugliamento;  leva  e trincia  sassi.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Deceppatori.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Ripuntato</w:t>
      </w:r>
      <w:r>
        <w:t>ri.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Frese interrasassi.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Aratri ed aratura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Vangatrici; erpici, tipologie.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Frese e zappatrici.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Sarchiatrici.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Rincalzatrici.</w:t>
      </w:r>
    </w:p>
    <w:p w:rsidR="00836F88" w:rsidRDefault="002C7D8F">
      <w:pPr>
        <w:pStyle w:val="TableContents"/>
        <w:tabs>
          <w:tab w:val="left" w:pos="1470"/>
        </w:tabs>
        <w:ind w:left="1440"/>
        <w:rPr>
          <w:rFonts w:hint="eastAsia"/>
        </w:rPr>
      </w:pPr>
      <w:r>
        <w:t xml:space="preserve">Rulli, tipologie.  </w:t>
      </w:r>
    </w:p>
    <w:p w:rsidR="00836F88" w:rsidRDefault="00836F88">
      <w:pPr>
        <w:pStyle w:val="TableContents"/>
        <w:rPr>
          <w:rFonts w:hint="eastAsia"/>
        </w:rPr>
      </w:pPr>
    </w:p>
    <w:p w:rsidR="00836F88" w:rsidRDefault="002C7D8F">
      <w:pPr>
        <w:pStyle w:val="TableContents"/>
        <w:ind w:left="1440"/>
        <w:rPr>
          <w:rFonts w:hint="eastAsia"/>
          <w:b/>
          <w:bCs/>
        </w:rPr>
      </w:pPr>
      <w:r>
        <w:rPr>
          <w:b/>
          <w:bCs/>
        </w:rPr>
        <w:t>Macchine per la distribuzione degli agrofarmaci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Irroratrici meccaniche, pneumatiche.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Gli</w:t>
      </w:r>
      <w:r>
        <w:t xml:space="preserve"> ugelli.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L'effetto deriva.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Il controllo funzionale.</w:t>
      </w:r>
    </w:p>
    <w:p w:rsidR="00836F88" w:rsidRDefault="00836F88">
      <w:pPr>
        <w:pStyle w:val="TableContents"/>
        <w:ind w:left="1440"/>
        <w:rPr>
          <w:rFonts w:hint="eastAsia"/>
        </w:rPr>
      </w:pPr>
    </w:p>
    <w:p w:rsidR="00836F88" w:rsidRDefault="002C7D8F">
      <w:pPr>
        <w:pStyle w:val="TableContents"/>
        <w:ind w:left="1440"/>
        <w:rPr>
          <w:rFonts w:hint="eastAsia"/>
          <w:b/>
          <w:bCs/>
        </w:rPr>
      </w:pPr>
      <w:r>
        <w:rPr>
          <w:b/>
          <w:bCs/>
        </w:rPr>
        <w:t>Macchine per la distribuzione dei fertilizzanti organici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Carri spandiletame.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Carribotte spandiliquame.</w:t>
      </w:r>
    </w:p>
    <w:p w:rsidR="00836F88" w:rsidRDefault="00836F88">
      <w:pPr>
        <w:pStyle w:val="TableContents"/>
        <w:rPr>
          <w:rFonts w:hint="eastAsia"/>
          <w:b/>
          <w:bCs/>
        </w:rPr>
      </w:pPr>
    </w:p>
    <w:p w:rsidR="00836F88" w:rsidRDefault="002C7D8F">
      <w:pPr>
        <w:pStyle w:val="TableContents"/>
        <w:ind w:left="1440"/>
        <w:rPr>
          <w:rFonts w:hint="eastAsia"/>
          <w:b/>
          <w:bCs/>
        </w:rPr>
      </w:pPr>
      <w:r>
        <w:rPr>
          <w:b/>
          <w:bCs/>
        </w:rPr>
        <w:t>Macchine per la distribuzione dei fertilizzanti chimici.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Spandiconcime centrifughi.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Spandiconcim</w:t>
      </w:r>
      <w:r>
        <w:t>e pneumatici.</w:t>
      </w:r>
    </w:p>
    <w:p w:rsidR="00836F88" w:rsidRDefault="00836F88">
      <w:pPr>
        <w:pStyle w:val="TableContents"/>
        <w:ind w:left="1440"/>
        <w:rPr>
          <w:rFonts w:hint="eastAsia"/>
        </w:rPr>
      </w:pPr>
    </w:p>
    <w:p w:rsidR="00836F88" w:rsidRDefault="00836F88">
      <w:pPr>
        <w:pStyle w:val="TableContents"/>
        <w:ind w:left="1440"/>
        <w:rPr>
          <w:rFonts w:hint="eastAsia"/>
        </w:rPr>
      </w:pPr>
    </w:p>
    <w:p w:rsidR="00836F88" w:rsidRDefault="002C7D8F">
      <w:pPr>
        <w:pStyle w:val="TableContents"/>
        <w:ind w:left="1440"/>
        <w:rPr>
          <w:rFonts w:hint="eastAsia"/>
        </w:rPr>
      </w:pPr>
      <w:r>
        <w:rPr>
          <w:b/>
          <w:bCs/>
        </w:rPr>
        <w:t>Macchine per la semina.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Seminatrici  meccaniche.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Seminatrici  meccaniche e pneumatiche di precisione.</w:t>
      </w:r>
    </w:p>
    <w:p w:rsidR="00836F88" w:rsidRDefault="00836F88">
      <w:pPr>
        <w:pStyle w:val="Titolo3"/>
        <w:rPr>
          <w:rFonts w:hint="eastAsia"/>
        </w:rPr>
      </w:pPr>
    </w:p>
    <w:p w:rsidR="00836F88" w:rsidRDefault="002C7D8F">
      <w:pPr>
        <w:pStyle w:val="Titolo3"/>
        <w:rPr>
          <w:rFonts w:hint="eastAsia"/>
        </w:rPr>
      </w:pPr>
      <w:r>
        <w:t>L’irrigazione</w:t>
      </w:r>
    </w:p>
    <w:p w:rsidR="00836F88" w:rsidRDefault="002C7D8F">
      <w:pPr>
        <w:pStyle w:val="Standard"/>
        <w:ind w:left="1440"/>
        <w:rPr>
          <w:rFonts w:hint="eastAsia"/>
        </w:rPr>
      </w:pPr>
      <w:r>
        <w:t>Gli scopi</w:t>
      </w:r>
    </w:p>
    <w:p w:rsidR="00836F88" w:rsidRDefault="002C7D8F">
      <w:pPr>
        <w:pStyle w:val="Standard"/>
        <w:ind w:left="1440"/>
        <w:rPr>
          <w:rFonts w:hint="eastAsia"/>
        </w:rPr>
      </w:pPr>
      <w:r>
        <w:t>L'evapotraspirazione,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Gli strumenti di misura.</w:t>
      </w:r>
    </w:p>
    <w:p w:rsidR="00836F88" w:rsidRDefault="002C7D8F">
      <w:pPr>
        <w:pStyle w:val="Standard"/>
        <w:ind w:left="1440"/>
        <w:rPr>
          <w:rFonts w:hint="eastAsia"/>
        </w:rPr>
      </w:pPr>
      <w:r>
        <w:t>I</w:t>
      </w:r>
      <w:r>
        <w:t xml:space="preserve"> coefficienti colturali.</w:t>
      </w:r>
    </w:p>
    <w:p w:rsidR="00836F88" w:rsidRDefault="002C7D8F">
      <w:pPr>
        <w:pStyle w:val="Standard"/>
        <w:ind w:left="1440"/>
        <w:rPr>
          <w:rFonts w:hint="eastAsia"/>
        </w:rPr>
      </w:pPr>
      <w:r>
        <w:t>Il bilancio idrico</w:t>
      </w:r>
    </w:p>
    <w:p w:rsidR="00836F88" w:rsidRDefault="002C7D8F">
      <w:pPr>
        <w:pStyle w:val="Standard"/>
        <w:ind w:left="1440"/>
        <w:rPr>
          <w:rFonts w:hint="eastAsia"/>
        </w:rPr>
      </w:pPr>
      <w:r>
        <w:t>Le costanti idrologiche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Elementi tecnici irrigazione.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Calcoli fabbisogno irriguo, portate, durate adaquamento,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dimensioni particella irrigua.</w:t>
      </w:r>
    </w:p>
    <w:p w:rsidR="00836F88" w:rsidRDefault="002C7D8F">
      <w:pPr>
        <w:pStyle w:val="Standard"/>
        <w:ind w:left="1440"/>
        <w:rPr>
          <w:rFonts w:hint="eastAsia"/>
        </w:rPr>
      </w:pPr>
      <w:r>
        <w:t>I sistemi irrigui : sistemi per sommersione, scorrimento.</w:t>
      </w:r>
    </w:p>
    <w:p w:rsidR="00836F88" w:rsidRDefault="002C7D8F">
      <w:pPr>
        <w:pStyle w:val="Standard"/>
        <w:ind w:left="1440"/>
        <w:rPr>
          <w:rFonts w:hint="eastAsia"/>
        </w:rPr>
      </w:pPr>
      <w:r>
        <w:t xml:space="preserve">I </w:t>
      </w:r>
      <w:r>
        <w:t>sistemi irrigui  : sistemi per aspersione.</w:t>
      </w:r>
    </w:p>
    <w:p w:rsidR="00836F88" w:rsidRDefault="002C7D8F">
      <w:pPr>
        <w:pStyle w:val="Standard"/>
        <w:ind w:left="1440"/>
        <w:rPr>
          <w:rFonts w:hint="eastAsia"/>
        </w:rPr>
      </w:pPr>
      <w:r>
        <w:t>La microirrigazione e la subirrigazione.</w:t>
      </w:r>
    </w:p>
    <w:p w:rsidR="00836F88" w:rsidRDefault="002C7D8F">
      <w:pPr>
        <w:pStyle w:val="Standard"/>
        <w:ind w:left="1440"/>
        <w:rPr>
          <w:rFonts w:hint="eastAsia"/>
        </w:rPr>
      </w:pPr>
      <w:r>
        <w:t>L’efficienza irrigua.</w:t>
      </w:r>
    </w:p>
    <w:p w:rsidR="00836F88" w:rsidRDefault="00836F88">
      <w:pPr>
        <w:pStyle w:val="Titolo1"/>
        <w:ind w:left="1440"/>
        <w:rPr>
          <w:rFonts w:hint="eastAsia"/>
        </w:rPr>
      </w:pPr>
    </w:p>
    <w:p w:rsidR="00836F88" w:rsidRDefault="002C7D8F">
      <w:pPr>
        <w:pStyle w:val="Titolo1"/>
        <w:ind w:left="1440"/>
        <w:rPr>
          <w:rFonts w:hint="eastAsia"/>
        </w:rPr>
      </w:pPr>
      <w:r>
        <w:t>La concimazione</w:t>
      </w:r>
    </w:p>
    <w:p w:rsidR="00836F88" w:rsidRDefault="002C7D8F">
      <w:pPr>
        <w:pStyle w:val="Standard"/>
        <w:ind w:left="1440"/>
        <w:rPr>
          <w:rFonts w:hint="eastAsia"/>
        </w:rPr>
      </w:pPr>
      <w:r>
        <w:t>Fertilizzanti, concimi, ammendanti e correttivi.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Il titolo; le unità fertilizzanti.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Calcoli inerenti le unità fertilizzanti.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L'azoto,</w:t>
      </w:r>
      <w:r>
        <w:t xml:space="preserve"> ciclo, funzioni, eccessi,difetti.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Fosforo: ciclo, funzioni, eccessi,difetti.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Potassio : ciclo, funzioni, eccessi,difetti.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Calcio e Magnesio ciclo, funzioni, eccessi,difetti.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Il ferro funzioni, eccessi,difetti.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 xml:space="preserve">Concimi azotati semplici, origine, sintesi , </w:t>
      </w:r>
      <w:r>
        <w:t>caratteristiche: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Ammoniaca anidra, Solfato d'ammonio,Nitrato d'ammonio,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Nitrato di calcio, Urea, Calciocianamide.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Concimi fosfatici origine,sintesi, caratteristiche Perfosfato semplice, doppio, triplo.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Concimi potassici origine, sintesi caratteristiche: S</w:t>
      </w:r>
      <w:r>
        <w:t>olfato potassio, Cloruro potassio.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Concimi binari : Fosfato biammonico ,Fosfato monopotassico, Nitrato di potassio.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I ternari da miscela e reazione.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I concimi organo-minerali.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Concimi a lenta cessione.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 xml:space="preserve">Concimi per fertirrigazione;concimi per </w:t>
      </w:r>
      <w:r>
        <w:t>fertilizzazione fogliare.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Concimi organici: il letame,il liquame, la pollina, i</w:t>
      </w:r>
      <w:r>
        <w:t>l compost.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Concimi organici di origine naturale: cuoiattoli, cornunghia.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Idrolizzati proteici,sangue di bue.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Stimolanti e promotori di crescita.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Il sovescio.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Esercizi calcolo d</w:t>
      </w:r>
      <w:r>
        <w:t>ose concimi.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La legge del minimo, la produttività decrescente.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Esercizi calcolo piani concimazione.</w:t>
      </w:r>
    </w:p>
    <w:p w:rsidR="00836F88" w:rsidRDefault="002C7D8F">
      <w:pPr>
        <w:pStyle w:val="TableContents"/>
        <w:ind w:left="1440"/>
        <w:rPr>
          <w:rFonts w:hint="eastAsia"/>
        </w:rPr>
      </w:pPr>
      <w:r>
        <w:t>Il coefficiente isoumidico; calcolo bilancio della sostanza organica.</w:t>
      </w:r>
    </w:p>
    <w:p w:rsidR="00836F88" w:rsidRDefault="00836F88">
      <w:pPr>
        <w:pStyle w:val="TableContents"/>
        <w:ind w:left="1440"/>
        <w:rPr>
          <w:rFonts w:hint="eastAsia"/>
        </w:rPr>
      </w:pPr>
    </w:p>
    <w:p w:rsidR="00836F88" w:rsidRDefault="002C7D8F">
      <w:pPr>
        <w:pStyle w:val="TableContents"/>
        <w:ind w:left="1440"/>
        <w:rPr>
          <w:rFonts w:hint="eastAsia"/>
        </w:rPr>
      </w:pPr>
      <w:r>
        <w:t>Bergamo 24 maggio 2019</w:t>
      </w:r>
    </w:p>
    <w:p w:rsidR="00836F88" w:rsidRDefault="00836F88">
      <w:pPr>
        <w:pStyle w:val="TableContents"/>
        <w:ind w:left="1440"/>
        <w:rPr>
          <w:rFonts w:hint="eastAsia"/>
        </w:rPr>
      </w:pPr>
    </w:p>
    <w:p w:rsidR="00836F88" w:rsidRDefault="00836F88">
      <w:pPr>
        <w:pStyle w:val="TableContents"/>
        <w:ind w:left="1440"/>
        <w:rPr>
          <w:rFonts w:hint="eastAsia"/>
        </w:rPr>
      </w:pPr>
    </w:p>
    <w:p w:rsidR="00836F88" w:rsidRDefault="00836F88">
      <w:pPr>
        <w:pStyle w:val="TableContents"/>
        <w:ind w:left="1440"/>
        <w:rPr>
          <w:rFonts w:hint="eastAsia"/>
        </w:rPr>
      </w:pPr>
    </w:p>
    <w:p w:rsidR="00836F88" w:rsidRDefault="002C7D8F">
      <w:pPr>
        <w:pStyle w:val="TableContents"/>
        <w:ind w:left="1440"/>
        <w:rPr>
          <w:rFonts w:hint="eastAsia"/>
        </w:rPr>
      </w:pPr>
      <w:r>
        <w:t xml:space="preserve">Prof. Paolo Baggi                                          </w:t>
      </w:r>
      <w:r>
        <w:t xml:space="preserve">            Gli studenti</w:t>
      </w:r>
    </w:p>
    <w:p w:rsidR="00836F88" w:rsidRDefault="00836F88">
      <w:pPr>
        <w:pStyle w:val="TableContents"/>
        <w:ind w:left="1440"/>
        <w:rPr>
          <w:rFonts w:hint="eastAsia"/>
        </w:rPr>
      </w:pPr>
    </w:p>
    <w:sectPr w:rsidR="00836F8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C7D8F">
      <w:pPr>
        <w:rPr>
          <w:rFonts w:hint="eastAsia"/>
        </w:rPr>
      </w:pPr>
      <w:r>
        <w:separator/>
      </w:r>
    </w:p>
  </w:endnote>
  <w:endnote w:type="continuationSeparator" w:id="0">
    <w:p w:rsidR="00000000" w:rsidRDefault="002C7D8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2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, 바탕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C7D8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2C7D8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36F88"/>
    <w:rsid w:val="002C7D8F"/>
    <w:rsid w:val="0083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3D747-06A7-483C-B43D-76A8F510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Standard"/>
    <w:uiPriority w:val="9"/>
    <w:qFormat/>
    <w:pPr>
      <w:keepNext/>
      <w:outlineLvl w:val="0"/>
    </w:pPr>
    <w:rPr>
      <w:b/>
      <w:bCs/>
    </w:rPr>
  </w:style>
  <w:style w:type="paragraph" w:styleId="Titolo3">
    <w:name w:val="heading 3"/>
    <w:basedOn w:val="Standard"/>
    <w:next w:val="Standard"/>
    <w:uiPriority w:val="9"/>
    <w:unhideWhenUsed/>
    <w:qFormat/>
    <w:pPr>
      <w:keepNext/>
      <w:ind w:left="14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carmelo scaffidi</dc:creator>
  <cp:lastModifiedBy>carmelo scaffidi</cp:lastModifiedBy>
  <cp:revision>2</cp:revision>
  <cp:lastPrinted>2019-05-18T11:33:00Z</cp:lastPrinted>
  <dcterms:created xsi:type="dcterms:W3CDTF">2019-05-31T17:13:00Z</dcterms:created>
  <dcterms:modified xsi:type="dcterms:W3CDTF">2019-05-31T17:13:00Z</dcterms:modified>
</cp:coreProperties>
</file>