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0A1" w:rsidRDefault="00603D2F">
      <w:pPr>
        <w:pStyle w:val="Standard"/>
        <w:jc w:val="both"/>
      </w:pPr>
      <w:bookmarkStart w:id="0" w:name="_GoBack"/>
      <w:bookmarkEnd w:id="0"/>
      <w:r>
        <w:t xml:space="preserve">DOCENTI: </w:t>
      </w:r>
      <w:r>
        <w:rPr>
          <w:b/>
        </w:rPr>
        <w:t xml:space="preserve"> Del Moro Tiziana</w:t>
      </w:r>
      <w:r>
        <w:t xml:space="preserve"> </w:t>
      </w:r>
      <w:r>
        <w:rPr>
          <w:b/>
        </w:rPr>
        <w:t>–</w:t>
      </w:r>
      <w:r>
        <w:t xml:space="preserve"> </w:t>
      </w:r>
      <w:r>
        <w:rPr>
          <w:b/>
        </w:rPr>
        <w:t>Carta Vincenzo</w:t>
      </w:r>
    </w:p>
    <w:p w:rsidR="00C910A1" w:rsidRDefault="00C910A1">
      <w:pPr>
        <w:pStyle w:val="Standard"/>
        <w:jc w:val="both"/>
        <w:rPr>
          <w:i/>
        </w:rPr>
      </w:pPr>
    </w:p>
    <w:p w:rsidR="00C910A1" w:rsidRDefault="00603D2F">
      <w:pPr>
        <w:pStyle w:val="Standard"/>
        <w:jc w:val="both"/>
      </w:pPr>
      <w:r>
        <w:t>MATERIA</w:t>
      </w:r>
      <w:r>
        <w:rPr>
          <w:b/>
        </w:rPr>
        <w:t>: ECONOMIA,  ESTIMO, MARKETING E LEGISLAZIONE</w:t>
      </w:r>
    </w:p>
    <w:p w:rsidR="00C910A1" w:rsidRDefault="00C910A1">
      <w:pPr>
        <w:pStyle w:val="Standard"/>
        <w:jc w:val="both"/>
        <w:rPr>
          <w:i/>
        </w:rPr>
      </w:pPr>
    </w:p>
    <w:p w:rsidR="00C910A1" w:rsidRDefault="00603D2F">
      <w:pPr>
        <w:pStyle w:val="Standard"/>
        <w:jc w:val="both"/>
      </w:pPr>
      <w:r>
        <w:t xml:space="preserve">CLASSE: </w:t>
      </w:r>
      <w:r>
        <w:rPr>
          <w:b/>
        </w:rPr>
        <w:t xml:space="preserve">4^A – GAT    </w:t>
      </w:r>
      <w:r>
        <w:rPr>
          <w:b/>
        </w:rPr>
        <w:t xml:space="preserve"> anno scolastico: 2018-19</w:t>
      </w:r>
    </w:p>
    <w:p w:rsidR="00C910A1" w:rsidRDefault="00C910A1">
      <w:pPr>
        <w:pStyle w:val="Standard"/>
        <w:jc w:val="both"/>
        <w:rPr>
          <w:b/>
          <w:i/>
        </w:rPr>
      </w:pPr>
    </w:p>
    <w:p w:rsidR="00C910A1" w:rsidRDefault="00603D2F">
      <w:pPr>
        <w:pStyle w:val="Standard"/>
        <w:jc w:val="both"/>
        <w:rPr>
          <w:b/>
          <w:u w:val="single"/>
        </w:rPr>
      </w:pPr>
      <w:r>
        <w:rPr>
          <w:b/>
          <w:u w:val="single"/>
        </w:rPr>
        <w:t>NOZIONI DI CONTABILITA’</w:t>
      </w:r>
    </w:p>
    <w:p w:rsidR="00C910A1" w:rsidRDefault="00C910A1">
      <w:pPr>
        <w:pStyle w:val="Standard"/>
        <w:jc w:val="both"/>
        <w:rPr>
          <w:b/>
          <w:i/>
          <w:u w:val="single"/>
        </w:rPr>
      </w:pPr>
    </w:p>
    <w:p w:rsidR="00C910A1" w:rsidRDefault="00603D2F">
      <w:pPr>
        <w:pStyle w:val="Standard"/>
        <w:jc w:val="both"/>
      </w:pPr>
      <w:r>
        <w:rPr>
          <w:b/>
          <w:u w:val="single"/>
        </w:rPr>
        <w:t>INVENTARIO:</w:t>
      </w:r>
      <w:r>
        <w:rPr>
          <w:i/>
        </w:rPr>
        <w:t xml:space="preserve"> </w:t>
      </w:r>
      <w:r>
        <w:t>rilevazione delle attività e passività</w:t>
      </w:r>
      <w:r>
        <w:rPr>
          <w:i/>
        </w:rPr>
        <w:t xml:space="preserve"> </w:t>
      </w:r>
      <w:r>
        <w:t>di una azienda agricola: valutazione del Capitale Fondiario</w:t>
      </w:r>
      <w:r>
        <w:t xml:space="preserve"> (terra e miglioramenti fondiari), del Capitale Agrario (  macchine, bestiame, prodotti di scorta,  materie prime,  anticipazioni colturali, crediti ), valutazione dei fondi ammortamento,  dei fondi svalutazione crediti,  dei debiti, quantificazione del Pa</w:t>
      </w:r>
      <w:r>
        <w:t>trimonio Netto, utilizzo delle tabelle del VAM e del Manuale. ( Cap.18-19 )</w:t>
      </w:r>
    </w:p>
    <w:p w:rsidR="00C910A1" w:rsidRDefault="00C910A1">
      <w:pPr>
        <w:pStyle w:val="Standard"/>
        <w:jc w:val="both"/>
      </w:pPr>
    </w:p>
    <w:p w:rsidR="00C910A1" w:rsidRDefault="00603D2F">
      <w:pPr>
        <w:pStyle w:val="Titolo1"/>
        <w:rPr>
          <w:i w:val="0"/>
        </w:rPr>
      </w:pPr>
      <w:r>
        <w:rPr>
          <w:i w:val="0"/>
        </w:rPr>
        <w:t>ECONOMIA GENERALE ( conclusione  del  programma del 3^ anno )</w:t>
      </w:r>
    </w:p>
    <w:p w:rsidR="00C910A1" w:rsidRDefault="00C910A1">
      <w:pPr>
        <w:pStyle w:val="Titolo1"/>
        <w:rPr>
          <w:i w:val="0"/>
        </w:rPr>
      </w:pPr>
    </w:p>
    <w:p w:rsidR="00C910A1" w:rsidRDefault="00603D2F">
      <w:pPr>
        <w:pStyle w:val="Titolo1"/>
      </w:pPr>
      <w:r>
        <w:rPr>
          <w:i w:val="0"/>
        </w:rPr>
        <w:t>I Titoli di Credito:</w:t>
      </w:r>
      <w:r>
        <w:rPr>
          <w:b w:val="0"/>
          <w:i w:val="0"/>
          <w:u w:val="none"/>
        </w:rPr>
        <w:t xml:space="preserve"> Titoli di Stato (Bot, Ctz, Cct, Btp ): attuali rendimenti, calcolo dell’interesse lordo e netto</w:t>
      </w:r>
      <w:r>
        <w:rPr>
          <w:b w:val="0"/>
          <w:i w:val="0"/>
          <w:u w:val="none"/>
        </w:rPr>
        <w:t>. Vantaggi. Il credito Fondiario, Agrario, di Consumo: valore cauzionale, piano di ammortamento del mutuo, il pignoramento.( cap.9 )</w:t>
      </w:r>
    </w:p>
    <w:p w:rsidR="00C910A1" w:rsidRDefault="00C910A1">
      <w:pPr>
        <w:pStyle w:val="Titolo1"/>
        <w:rPr>
          <w:b w:val="0"/>
          <w:i w:val="0"/>
          <w:u w:val="none"/>
        </w:rPr>
      </w:pPr>
    </w:p>
    <w:p w:rsidR="00C910A1" w:rsidRDefault="00603D2F">
      <w:pPr>
        <w:pStyle w:val="Standard"/>
        <w:jc w:val="both"/>
        <w:rPr>
          <w:b/>
          <w:u w:val="single"/>
        </w:rPr>
      </w:pPr>
      <w:r>
        <w:rPr>
          <w:b/>
          <w:u w:val="single"/>
        </w:rPr>
        <w:t>ECONOMIA AGRARIA</w:t>
      </w:r>
    </w:p>
    <w:p w:rsidR="00C910A1" w:rsidRDefault="00C910A1">
      <w:pPr>
        <w:pStyle w:val="Standard"/>
        <w:jc w:val="both"/>
      </w:pPr>
    </w:p>
    <w:p w:rsidR="00C910A1" w:rsidRDefault="00603D2F">
      <w:pPr>
        <w:pStyle w:val="Standard"/>
        <w:jc w:val="both"/>
      </w:pPr>
      <w:r>
        <w:rPr>
          <w:b/>
          <w:u w:val="single"/>
        </w:rPr>
        <w:t>L’ azienda agraria</w:t>
      </w:r>
      <w:r>
        <w:rPr>
          <w:b/>
        </w:rPr>
        <w:t>:</w:t>
      </w:r>
      <w:r>
        <w:t xml:space="preserve"> azienda e impresa, l’ imprenditore  agricolo ( art. 2135 del C.C), lo IAP, il Coltiv</w:t>
      </w:r>
      <w:r>
        <w:t>atore diretto, vantaggi,  caratteristiche della produzione agricola, attuale situazione agricola italiana. Forme di conduzione prevalenti ( dati  ISTAT ).( cap.11 )</w:t>
      </w:r>
    </w:p>
    <w:p w:rsidR="00C910A1" w:rsidRDefault="00C910A1">
      <w:pPr>
        <w:pStyle w:val="Standard"/>
        <w:jc w:val="both"/>
      </w:pPr>
    </w:p>
    <w:p w:rsidR="00C910A1" w:rsidRDefault="00603D2F">
      <w:pPr>
        <w:pStyle w:val="Standard"/>
        <w:jc w:val="both"/>
      </w:pPr>
      <w:r>
        <w:rPr>
          <w:b/>
          <w:u w:val="single"/>
        </w:rPr>
        <w:t>I fattori della produzione agraria</w:t>
      </w:r>
      <w:r>
        <w:rPr>
          <w:b/>
        </w:rPr>
        <w:t>:</w:t>
      </w:r>
      <w:r>
        <w:t xml:space="preserve"> i capitali dell’azienda agraria: il capitale fondiario</w:t>
      </w:r>
      <w:r>
        <w:t>, il capitale agrario, il capitale di anticipazione, il capitale di scorta. Il lavoro manuale e intellettuale. Il fattore impresa e i rischi dell’attività agricola.  La formazione e la distribuzione del reddito: la produzione lorda totale e vendibile, il r</w:t>
      </w:r>
      <w:r>
        <w:t>eddito netto dell’imprenditore concreto, il profitto d’impresa o tornaconto dell’imprenditore astratto. ( cap.12 )</w:t>
      </w:r>
    </w:p>
    <w:p w:rsidR="00C910A1" w:rsidRDefault="00C910A1">
      <w:pPr>
        <w:pStyle w:val="Standard"/>
        <w:jc w:val="both"/>
      </w:pPr>
    </w:p>
    <w:p w:rsidR="00C910A1" w:rsidRDefault="00603D2F">
      <w:pPr>
        <w:pStyle w:val="Standard"/>
        <w:jc w:val="both"/>
      </w:pPr>
      <w:r>
        <w:rPr>
          <w:b/>
          <w:u w:val="single"/>
        </w:rPr>
        <w:t>Il bilancio economico</w:t>
      </w:r>
      <w:r>
        <w:rPr>
          <w:u w:val="single"/>
        </w:rPr>
        <w:t xml:space="preserve"> </w:t>
      </w:r>
      <w:r>
        <w:rPr>
          <w:b/>
          <w:u w:val="single"/>
        </w:rPr>
        <w:t>dell’impresa agraria ad indirizzo cerealicolo-zootecnico  da</w:t>
      </w:r>
      <w:r>
        <w:rPr>
          <w:b/>
          <w:i/>
          <w:u w:val="single"/>
        </w:rPr>
        <w:t xml:space="preserve"> </w:t>
      </w:r>
      <w:r>
        <w:rPr>
          <w:b/>
          <w:u w:val="single"/>
        </w:rPr>
        <w:t>latte</w:t>
      </w:r>
      <w:r>
        <w:t xml:space="preserve">: </w:t>
      </w:r>
      <w:r>
        <w:t xml:space="preserve">nozione di bilancio e finalità della redazione del bilancio economico. Fasi: descrizione dell’ azienda, riparto della superficie (SAT – SAU), dati catastali, reddito dominicale e </w:t>
      </w:r>
      <w:r>
        <w:t>reddito agrario, i ricavi lordi ( latte – carne ),  le quote fondiarie e agrarie, le spese varie colturali e di stalla, i tributi ( imposte, tasse e contributi ),  i salari ( le ore lavorative colturali e di stalla, il compenso orario  per un operaio fisso</w:t>
      </w:r>
      <w:r>
        <w:t xml:space="preserve"> e avventizio – la ULA ), gli stipendi, gli interessi sul capitale agrario,  il beneficio fondiario ( canone di affitto di mercato – interesse sul capitale fondiario ), il reddito netto dell’imprenditore concreto e il tornaconto dell’imprenditore astratto.</w:t>
      </w:r>
      <w:r>
        <w:t>( cap.13-14 )</w:t>
      </w:r>
    </w:p>
    <w:p w:rsidR="00C910A1" w:rsidRDefault="00603D2F">
      <w:pPr>
        <w:pStyle w:val="Standard"/>
        <w:jc w:val="both"/>
      </w:pPr>
      <w:r>
        <w:rPr>
          <w:b/>
          <w:u w:val="single"/>
        </w:rPr>
        <w:lastRenderedPageBreak/>
        <w:t>Il contratto di affitto e le recenti disposizioni di legge</w:t>
      </w:r>
      <w:r>
        <w:rPr>
          <w:u w:val="single"/>
        </w:rPr>
        <w:t xml:space="preserve"> </w:t>
      </w:r>
      <w:r>
        <w:t>(contratti in deroga in provincia di Bergamo). I miglioramenti eseguiti dall’affittuario e l’indennità ( Migliorato / Esame di Stato 2003 ). Riflessioni riguardanti la Legge 203/82. (</w:t>
      </w:r>
      <w:r>
        <w:t>Abolizione della Mezzadria). Il bilancio economico dell’azienda condotta in affitto: Reddito Padronale Lordo e Spese di parte Padronale.( cap.21 )</w:t>
      </w:r>
    </w:p>
    <w:p w:rsidR="00C910A1" w:rsidRDefault="00C910A1">
      <w:pPr>
        <w:pStyle w:val="Standard"/>
        <w:jc w:val="both"/>
      </w:pPr>
    </w:p>
    <w:p w:rsidR="00C910A1" w:rsidRDefault="00603D2F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>ESERCITAZIONI SVOLTE</w:t>
      </w:r>
    </w:p>
    <w:p w:rsidR="00C910A1" w:rsidRDefault="00C910A1">
      <w:pPr>
        <w:pStyle w:val="Standard"/>
        <w:rPr>
          <w:b/>
          <w:i/>
          <w:u w:val="single"/>
        </w:rPr>
      </w:pPr>
    </w:p>
    <w:p w:rsidR="00C910A1" w:rsidRDefault="00603D2F">
      <w:pPr>
        <w:pStyle w:val="Standard"/>
      </w:pPr>
      <w:r>
        <w:rPr>
          <w:b/>
          <w:u w:val="single"/>
        </w:rPr>
        <w:t xml:space="preserve">Bilancio Patrimoniale: </w:t>
      </w:r>
      <w:r>
        <w:t>rilevazione e quantificazione delle attività e passività dell’A</w:t>
      </w:r>
      <w:r>
        <w:t>zienda Agricola Personeni di Brembate Sopra mediante la compilazione di un foglio Exel. Utilizzo del Manuale.</w:t>
      </w:r>
    </w:p>
    <w:p w:rsidR="00C910A1" w:rsidRDefault="00603D2F">
      <w:pPr>
        <w:pStyle w:val="Standard"/>
        <w:jc w:val="both"/>
      </w:pPr>
      <w:r>
        <w:rPr>
          <w:b/>
          <w:u w:val="single"/>
        </w:rPr>
        <w:t>Bilancio economico di un’azienda cerealicolo – zootecnica:</w:t>
      </w:r>
      <w:r>
        <w:t xml:space="preserve">   utilizzo del Manuale Amicabile,  la ricerca dei dati e la loro interpretazione. Scelt</w:t>
      </w:r>
      <w:r>
        <w:t>e tecniche riguardanti la rotazione, la razione alimentare e i fabbisogni energetici dei bovini da latte, il dimensionamento dei Fabbricati Rurali, la consistenza del Parco Macchine.</w:t>
      </w:r>
    </w:p>
    <w:p w:rsidR="00C910A1" w:rsidRDefault="00603D2F">
      <w:pPr>
        <w:pStyle w:val="Standard"/>
        <w:jc w:val="both"/>
      </w:pPr>
      <w:r>
        <w:rPr>
          <w:b/>
          <w:u w:val="single"/>
        </w:rPr>
        <w:t>Esercitazioni di Matematica Finanziaria:</w:t>
      </w:r>
      <w:r>
        <w:rPr>
          <w:b/>
        </w:rPr>
        <w:t xml:space="preserve"> </w:t>
      </w:r>
      <w:r>
        <w:t xml:space="preserve"> applicazione della formula di </w:t>
      </w:r>
      <w:r>
        <w:t>capitalizzazione     ( Vo = Bf/r ) e ( Ao = a/r ), ricerca della annualità illimitata ( la rendita perpetua ), piano di ammortamento del mutuo ( ricerca della annualità e del debito residuo ).</w:t>
      </w:r>
    </w:p>
    <w:p w:rsidR="00C910A1" w:rsidRDefault="00603D2F">
      <w:pPr>
        <w:pStyle w:val="Standard"/>
        <w:jc w:val="both"/>
        <w:rPr>
          <w:b/>
          <w:u w:val="single"/>
        </w:rPr>
      </w:pPr>
      <w:r>
        <w:rPr>
          <w:b/>
          <w:u w:val="single"/>
        </w:rPr>
        <w:t>Attività di Approfondimento</w:t>
      </w:r>
    </w:p>
    <w:p w:rsidR="00C910A1" w:rsidRDefault="00603D2F">
      <w:pPr>
        <w:pStyle w:val="Standard"/>
        <w:jc w:val="both"/>
      </w:pPr>
      <w:r>
        <w:t xml:space="preserve">Sono stati proiettati e commentati </w:t>
      </w:r>
      <w:r>
        <w:t>in classe i seguenti filmati,documentari Rai3/ Report/ Scala Mercalli: 1) Bioi-Illogico; 2) Corsa alla terra 3) Cibo e sostenibilità.</w:t>
      </w:r>
    </w:p>
    <w:p w:rsidR="00C910A1" w:rsidRDefault="00C910A1">
      <w:pPr>
        <w:pStyle w:val="Standard"/>
        <w:rPr>
          <w:b/>
          <w:u w:val="single"/>
        </w:rPr>
      </w:pPr>
    </w:p>
    <w:p w:rsidR="00C910A1" w:rsidRDefault="00603D2F">
      <w:pPr>
        <w:pStyle w:val="Standard"/>
        <w:jc w:val="center"/>
        <w:rPr>
          <w:b/>
          <w:bCs/>
          <w:u w:val="single"/>
        </w:rPr>
      </w:pPr>
      <w:r>
        <w:rPr>
          <w:b/>
          <w:bCs/>
          <w:u w:val="single"/>
        </w:rPr>
        <w:t>APPROFONDIMENTI</w:t>
      </w:r>
    </w:p>
    <w:p w:rsidR="00C910A1" w:rsidRDefault="00C910A1">
      <w:pPr>
        <w:pStyle w:val="Standard"/>
      </w:pPr>
    </w:p>
    <w:p w:rsidR="00C910A1" w:rsidRDefault="00603D2F">
      <w:pPr>
        <w:pStyle w:val="Standard"/>
      </w:pPr>
      <w:r>
        <w:t>Gli studenti hanno trattato e presentato,  a gruppi, i seguenti argomenti, suggeriti dagli insegnanti: 1</w:t>
      </w:r>
      <w:r>
        <w:t>) Economia circolare; 2) Sviluppo sostenibile; 3) Forum mondiale delle foreste; 4) Consumo di suolo ( Land grabbing ); 5) Gamme alimentari.</w:t>
      </w:r>
    </w:p>
    <w:p w:rsidR="00C910A1" w:rsidRDefault="00C910A1">
      <w:pPr>
        <w:pStyle w:val="Standard"/>
      </w:pPr>
    </w:p>
    <w:p w:rsidR="00C910A1" w:rsidRDefault="00C910A1">
      <w:pPr>
        <w:pStyle w:val="Standard"/>
      </w:pPr>
    </w:p>
    <w:p w:rsidR="00C910A1" w:rsidRDefault="00603D2F">
      <w:pPr>
        <w:pStyle w:val="Standard"/>
      </w:pPr>
      <w:r>
        <w:t>Bergamo 08/06/2019</w:t>
      </w:r>
    </w:p>
    <w:p w:rsidR="00C910A1" w:rsidRDefault="00C910A1">
      <w:pPr>
        <w:pStyle w:val="Standard"/>
      </w:pPr>
    </w:p>
    <w:p w:rsidR="00C910A1" w:rsidRDefault="00C910A1">
      <w:pPr>
        <w:pStyle w:val="Standard"/>
      </w:pPr>
    </w:p>
    <w:p w:rsidR="00C910A1" w:rsidRDefault="00C910A1">
      <w:pPr>
        <w:pStyle w:val="Standard"/>
      </w:pPr>
    </w:p>
    <w:p w:rsidR="00C910A1" w:rsidRDefault="00603D2F">
      <w:pPr>
        <w:pStyle w:val="Standard"/>
      </w:pPr>
      <w:r>
        <w:t>Firma dei  Docenti  1)_________________________2)___________________________</w:t>
      </w:r>
    </w:p>
    <w:p w:rsidR="00C910A1" w:rsidRDefault="00C910A1">
      <w:pPr>
        <w:pStyle w:val="Standard"/>
      </w:pPr>
    </w:p>
    <w:p w:rsidR="00C910A1" w:rsidRDefault="00C910A1">
      <w:pPr>
        <w:pStyle w:val="Standard"/>
      </w:pPr>
    </w:p>
    <w:p w:rsidR="00C910A1" w:rsidRDefault="00603D2F">
      <w:pPr>
        <w:pStyle w:val="Standard"/>
      </w:pPr>
      <w:r>
        <w:t xml:space="preserve">Firma degli  </w:t>
      </w:r>
      <w:r>
        <w:t>Allievi  1)_________________________2)___________________________</w:t>
      </w:r>
    </w:p>
    <w:sectPr w:rsidR="00C910A1">
      <w:headerReference w:type="default" r:id="rId7"/>
      <w:footerReference w:type="default" r:id="rId8"/>
      <w:pgSz w:w="11906" w:h="16838"/>
      <w:pgMar w:top="1417" w:right="99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03D2F">
      <w:r>
        <w:separator/>
      </w:r>
    </w:p>
  </w:endnote>
  <w:endnote w:type="continuationSeparator" w:id="0">
    <w:p w:rsidR="00000000" w:rsidRDefault="00603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5115" w:rsidRDefault="00603D2F">
    <w:pPr>
      <w:pStyle w:val="Pidipagina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t xml:space="preserve">Il presente materiale è di proprietà dell’Istituto di Istruzione Superiore Mario Rigoni Stern di Bergamo  ed è vietata </w:t>
    </w:r>
    <w:r>
      <w:rPr>
        <w:rFonts w:ascii="Times New Roman" w:hAnsi="Times New Roman"/>
        <w:sz w:val="18"/>
      </w:rPr>
      <w:t>qualsiasi copia non autorizzata</w:t>
    </w:r>
  </w:p>
  <w:p w:rsidR="00C95115" w:rsidRDefault="00603D2F">
    <w:pPr>
      <w:pStyle w:val="Pidipagina"/>
    </w:pPr>
    <w:r>
      <w:rPr>
        <w:rFonts w:ascii="Times New Roman" w:hAnsi="Times New Roman"/>
        <w:sz w:val="18"/>
      </w:rPr>
      <w:tab/>
    </w:r>
    <w:r>
      <w:rPr>
        <w:rFonts w:ascii="Times New Roman" w:hAnsi="Times New Roman"/>
        <w:sz w:val="18"/>
      </w:rPr>
      <w:tab/>
      <w:t xml:space="preserve">Pagina </w:t>
    </w:r>
    <w:r>
      <w:rPr>
        <w:rFonts w:ascii="Times New Roman" w:hAnsi="Times New Roman"/>
        <w:sz w:val="18"/>
      </w:rPr>
      <w:fldChar w:fldCharType="begin"/>
    </w:r>
    <w:r>
      <w:rPr>
        <w:rFonts w:ascii="Times New Roman" w:hAnsi="Times New Roman"/>
        <w:sz w:val="18"/>
      </w:rPr>
      <w:instrText xml:space="preserve"> PAGE </w:instrText>
    </w:r>
    <w:r>
      <w:rPr>
        <w:rFonts w:ascii="Times New Roman" w:hAnsi="Times New Roman"/>
        <w:sz w:val="18"/>
      </w:rPr>
      <w:fldChar w:fldCharType="separate"/>
    </w:r>
    <w:r>
      <w:rPr>
        <w:rFonts w:ascii="Times New Roman" w:hAnsi="Times New Roman"/>
        <w:sz w:val="18"/>
      </w:rPr>
      <w:t>2</w:t>
    </w:r>
    <w:r>
      <w:rPr>
        <w:rFonts w:ascii="Times New Roman" w:hAnsi="Times New Roman"/>
        <w:sz w:val="18"/>
      </w:rPr>
      <w:fldChar w:fldCharType="end"/>
    </w:r>
    <w:r>
      <w:rPr>
        <w:rFonts w:ascii="Times New Roman" w:hAnsi="Times New Roman"/>
        <w:sz w:val="18"/>
      </w:rPr>
      <w:t xml:space="preserve"> di </w:t>
    </w:r>
    <w:r>
      <w:rPr>
        <w:rFonts w:ascii="Times New Roman" w:hAnsi="Times New Roman"/>
        <w:sz w:val="18"/>
      </w:rPr>
      <w:fldChar w:fldCharType="begin"/>
    </w:r>
    <w:r>
      <w:rPr>
        <w:rFonts w:ascii="Times New Roman" w:hAnsi="Times New Roman"/>
        <w:sz w:val="18"/>
      </w:rPr>
      <w:instrText xml:space="preserve"> NUMPAGES </w:instrText>
    </w:r>
    <w:r>
      <w:rPr>
        <w:rFonts w:ascii="Times New Roman" w:hAnsi="Times New Roman"/>
        <w:sz w:val="18"/>
      </w:rPr>
      <w:fldChar w:fldCharType="separate"/>
    </w:r>
    <w:r>
      <w:rPr>
        <w:rFonts w:ascii="Times New Roman" w:hAnsi="Times New Roman"/>
        <w:sz w:val="18"/>
      </w:rPr>
      <w:t>2</w:t>
    </w:r>
    <w:r>
      <w:rPr>
        <w:rFonts w:ascii="Times New Roman" w:hAnsi="Times New Roman"/>
        <w:sz w:val="18"/>
      </w:rPr>
      <w:fldChar w:fldCharType="end"/>
    </w:r>
  </w:p>
  <w:p w:rsidR="00C95115" w:rsidRDefault="00603D2F">
    <w:pPr>
      <w:pStyle w:val="Pidipagina"/>
    </w:pPr>
  </w:p>
  <w:p w:rsidR="00C95115" w:rsidRDefault="00603D2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03D2F">
      <w:r>
        <w:rPr>
          <w:color w:val="000000"/>
        </w:rPr>
        <w:separator/>
      </w:r>
    </w:p>
  </w:footnote>
  <w:footnote w:type="continuationSeparator" w:id="0">
    <w:p w:rsidR="00000000" w:rsidRDefault="00603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Ind w:w="-113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781"/>
    </w:tblGrid>
    <w:tr w:rsidR="00C95115">
      <w:tblPrEx>
        <w:tblCellMar>
          <w:top w:w="0" w:type="dxa"/>
          <w:bottom w:w="0" w:type="dxa"/>
        </w:tblCellMar>
      </w:tblPrEx>
      <w:trPr>
        <w:trHeight w:val="1916"/>
      </w:trPr>
      <w:tc>
        <w:tcPr>
          <w:tcW w:w="9781" w:type="dxa"/>
          <w:tcBorders>
            <w:bottom w:val="single" w:sz="4" w:space="0" w:color="00000A"/>
          </w:tcBorders>
          <w:shd w:val="clear" w:color="auto" w:fill="FFFFFF"/>
          <w:tcMar>
            <w:top w:w="0" w:type="dxa"/>
            <w:left w:w="113" w:type="dxa"/>
            <w:bottom w:w="0" w:type="dxa"/>
            <w:right w:w="108" w:type="dxa"/>
          </w:tcMar>
          <w:vAlign w:val="center"/>
        </w:tcPr>
        <w:p w:rsidR="00C95115" w:rsidRDefault="00603D2F">
          <w:pPr>
            <w:pStyle w:val="Standard"/>
            <w:jc w:val="center"/>
          </w:pPr>
          <w:r>
            <w:rPr>
              <w:noProof/>
            </w:rPr>
            <w:drawing>
              <wp:inline distT="0" distB="0" distL="0" distR="0">
                <wp:extent cx="304920" cy="351720"/>
                <wp:effectExtent l="0" t="0" r="0" b="0"/>
                <wp:docPr id="1" name="Picture" descr="repubblic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920" cy="35172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762120</wp:posOffset>
                </wp:positionH>
                <wp:positionV relativeFrom="paragraph">
                  <wp:posOffset>309960</wp:posOffset>
                </wp:positionV>
                <wp:extent cx="659880" cy="720000"/>
                <wp:effectExtent l="0" t="0" r="6870" b="3900"/>
                <wp:wrapNone/>
                <wp:docPr id="2" name="Immagine1" descr="Logo IIS Mario Rigoni Stern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88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:rsidR="00C95115" w:rsidRDefault="00603D2F">
          <w:pPr>
            <w:pStyle w:val="Standard"/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C95115" w:rsidRDefault="00603D2F">
          <w:pPr>
            <w:pStyle w:val="Standard"/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C95115" w:rsidRDefault="00603D2F">
          <w:pPr>
            <w:pStyle w:val="Standard"/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C95115" w:rsidRDefault="00603D2F">
          <w:pPr>
            <w:pStyle w:val="Standard"/>
            <w:jc w:val="center"/>
          </w:pPr>
          <w:r>
            <w:rPr>
              <w:rFonts w:ascii="Wingdings 2" w:hAnsi="Wingdings 2"/>
              <w:sz w:val="22"/>
              <w:szCs w:val="22"/>
            </w:rPr>
            <w:t></w:t>
          </w:r>
          <w:r>
            <w:rPr>
              <w:rFonts w:ascii="Verdana" w:hAnsi="Verdana"/>
              <w:sz w:val="22"/>
              <w:szCs w:val="22"/>
            </w:rPr>
            <w:t xml:space="preserve"> 035 220213 - </w:t>
          </w:r>
          <w:r>
            <w:rPr>
              <w:rFonts w:ascii="Wingdings 2" w:hAnsi="Wingdings 2"/>
              <w:sz w:val="22"/>
              <w:szCs w:val="22"/>
            </w:rPr>
            <w:t></w:t>
          </w:r>
          <w:r>
            <w:rPr>
              <w:rFonts w:ascii="Verdana" w:hAnsi="Verdana"/>
              <w:sz w:val="22"/>
              <w:szCs w:val="22"/>
            </w:rPr>
            <w:t xml:space="preserve"> 035 220410</w:t>
          </w:r>
        </w:p>
        <w:p w:rsidR="00C95115" w:rsidRDefault="00603D2F">
          <w:pPr>
            <w:pStyle w:val="Standard"/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C95115">
      <w:tblPrEx>
        <w:tblCellMar>
          <w:top w:w="0" w:type="dxa"/>
          <w:bottom w:w="0" w:type="dxa"/>
        </w:tblCellMar>
      </w:tblPrEx>
      <w:trPr>
        <w:trHeight w:val="161"/>
      </w:trPr>
      <w:tc>
        <w:tcPr>
          <w:tcW w:w="978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95115" w:rsidRDefault="00603D2F">
          <w:pPr>
            <w:pStyle w:val="Standard"/>
            <w:jc w:val="center"/>
            <w:rPr>
              <w:rFonts w:ascii="Verdana" w:eastAsia="Batang" w:hAnsi="Verdana"/>
              <w:b/>
              <w:bCs/>
              <w:szCs w:val="24"/>
            </w:rPr>
          </w:pPr>
          <w:r>
            <w:rPr>
              <w:rFonts w:ascii="Verdana" w:eastAsia="Batang" w:hAnsi="Verdana"/>
              <w:b/>
              <w:bCs/>
              <w:szCs w:val="24"/>
            </w:rPr>
            <w:t>PROGRAMMA SVOLTO – ALL. 03/P03</w:t>
          </w:r>
        </w:p>
      </w:tc>
    </w:tr>
  </w:tbl>
  <w:p w:rsidR="00C95115" w:rsidRDefault="00603D2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76FB6"/>
    <w:multiLevelType w:val="multilevel"/>
    <w:tmpl w:val="DE5C2DF8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910A1"/>
    <w:rsid w:val="00603D2F"/>
    <w:rsid w:val="00C9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56C8B-FEF8-4AEC-B8F6-36162D3A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kern w:val="3"/>
        <w:sz w:val="24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uiPriority w:val="9"/>
    <w:qFormat/>
    <w:pPr>
      <w:keepNext/>
      <w:jc w:val="both"/>
      <w:outlineLvl w:val="0"/>
    </w:pPr>
    <w:rPr>
      <w:b/>
      <w:i/>
      <w:u w:val="single"/>
    </w:rPr>
  </w:style>
  <w:style w:type="paragraph" w:styleId="Titolo2">
    <w:name w:val="heading 2"/>
    <w:basedOn w:val="Standard"/>
    <w:uiPriority w:val="9"/>
    <w:semiHidden/>
    <w:unhideWhenUsed/>
    <w:qFormat/>
    <w:pPr>
      <w:keepNext/>
      <w:jc w:val="both"/>
      <w:outlineLvl w:val="1"/>
    </w:pPr>
    <w:rPr>
      <w:u w:val="single"/>
    </w:rPr>
  </w:style>
  <w:style w:type="paragraph" w:styleId="Titolo3">
    <w:name w:val="heading 3"/>
    <w:basedOn w:val="Standard"/>
    <w:uiPriority w:val="9"/>
    <w:semiHidden/>
    <w:unhideWhenUsed/>
    <w:qFormat/>
    <w:pPr>
      <w:keepNext/>
      <w:jc w:val="center"/>
      <w:outlineLvl w:val="2"/>
    </w:pPr>
    <w:rPr>
      <w:b/>
      <w:i/>
      <w:u w:val="single"/>
    </w:rPr>
  </w:style>
  <w:style w:type="paragraph" w:styleId="Titolo7">
    <w:name w:val="heading 7"/>
    <w:basedOn w:val="Standard"/>
    <w:pPr>
      <w:spacing w:before="240" w:after="60"/>
      <w:outlineLvl w:val="6"/>
    </w:pPr>
    <w:rPr>
      <w:rFonts w:ascii="Calibri" w:eastAsia="Times New Roman" w:hAnsi="Calibri" w:cs="Times New Roman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Arial" w:eastAsia="Arial" w:hAnsi="Arial" w:cs="Aria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itolo">
    <w:name w:val="Title"/>
    <w:basedOn w:val="Standard"/>
    <w:uiPriority w:val="10"/>
    <w:qFormat/>
    <w:pPr>
      <w:keepNext/>
      <w:spacing w:before="240" w:after="120"/>
      <w:jc w:val="center"/>
    </w:pPr>
    <w:rPr>
      <w:rFonts w:ascii="Liberation Sans" w:eastAsia="Microsoft YaHei" w:hAnsi="Liberation Sans" w:cs="Mangal"/>
      <w:b/>
      <w:sz w:val="28"/>
      <w:szCs w:val="28"/>
      <w:u w:val="single"/>
    </w:rPr>
  </w:style>
  <w:style w:type="paragraph" w:customStyle="1" w:styleId="Corpodeltesto1">
    <w:name w:val="Corpo del testo1"/>
    <w:basedOn w:val="Standard"/>
    <w:pPr>
      <w:spacing w:after="140" w:line="288" w:lineRule="auto"/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</w:style>
  <w:style w:type="character" w:customStyle="1" w:styleId="Internetlink">
    <w:name w:val="Internet link"/>
    <w:basedOn w:val="Carpredefinitoparagrafo"/>
    <w:rPr>
      <w:color w:val="0000FF"/>
      <w:u w:val="single"/>
      <w:lang/>
    </w:rPr>
  </w:style>
  <w:style w:type="character" w:customStyle="1" w:styleId="Titolo7Carattere">
    <w:name w:val="Titolo 7 Carattere"/>
    <w:basedOn w:val="Carpredefinitoparagrafo"/>
    <w:rPr>
      <w:rFonts w:ascii="Calibri" w:eastAsia="Times New Roman" w:hAnsi="Calibri" w:cs="Times New Roman"/>
      <w:sz w:val="24"/>
      <w:szCs w:val="24"/>
    </w:rPr>
  </w:style>
  <w:style w:type="character" w:customStyle="1" w:styleId="TestofumettoCarattere">
    <w:name w:val="Testo fumetto Carattere"/>
    <w:basedOn w:val="Carpredefinitoparagrafo"/>
    <w:rPr>
      <w:rFonts w:ascii="Tahoma" w:eastAsia="Tahoma" w:hAnsi="Tahoma" w:cs="Tahoma"/>
      <w:sz w:val="16"/>
      <w:szCs w:val="16"/>
    </w:rPr>
  </w:style>
  <w:style w:type="numbering" w:customStyle="1" w:styleId="NoList">
    <w:name w:val="No List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 DI BERGAMO</vt:lpstr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 DI BERGAMO</dc:title>
  <dc:creator>federazione provinciale</dc:creator>
  <cp:lastModifiedBy>carmelo scaffidi</cp:lastModifiedBy>
  <cp:revision>2</cp:revision>
  <dcterms:created xsi:type="dcterms:W3CDTF">2019-06-06T16:58:00Z</dcterms:created>
  <dcterms:modified xsi:type="dcterms:W3CDTF">2019-06-06T16:58:00Z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