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DOCENTE: BOTTA CHIARA</w:t>
        <w:tab/>
        <w:t xml:space="preserve"> DISCIPLINA: ITALIANO</w:t>
        <w:tab/>
        <w:tab/>
        <w:t>CLASSE: 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t>a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PROGRAMMA ED ARGOMENTI TRATTATI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NICCOLO’ MACHIAVELLI</w:t>
      </w:r>
    </w:p>
    <w:p>
      <w:pPr>
        <w:pStyle w:val="Normal1"/>
        <w:keepNext w:val="false"/>
        <w:keepLines w:val="false"/>
        <w:widowControl w:val="false"/>
        <w:numPr>
          <w:ilvl w:val="0"/>
          <w:numId w:val="17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Vita</w:t>
      </w:r>
    </w:p>
    <w:p>
      <w:pPr>
        <w:pStyle w:val="Normal1"/>
        <w:keepNext w:val="false"/>
        <w:keepLines w:val="false"/>
        <w:widowControl w:val="false"/>
        <w:numPr>
          <w:ilvl w:val="0"/>
          <w:numId w:val="17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 discorsi sopra la prima deca di Tito Livio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genere e contenuti.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7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Mandragola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genere, modelli e contenuti.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7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Principe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genere, la ricerca del buon principe, la struttura e i temi, l’analisi della situazione italiana, il ruolo della guerra, Virtù fortuna e moralità del principe, il principe centauro, lingua e stile.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7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Lettura ed analisi: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Quanti sono i tipi di principato e in  quali modo di acquisiscono, cap. 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5" w:after="28"/>
        <w:ind w:left="72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Di quelle cose per le quali gli uomini, e specialmente i principi, sono lodati o vituperati dal Principe, cap. XV.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5" w:after="28"/>
        <w:ind w:left="72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In che modo i principi debbano mantenere la parola data dal Principe, cap. XVIII.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5" w:after="28"/>
        <w:ind w:left="72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"Quanto possa la fortuna nelle cose umane e in che modo occorra resisterele" cap. XXV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13" w:right="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none"/>
          <w:vertAlign w:val="baseline"/>
        </w:rPr>
        <w:t>ARTE TRA ‘500 E ‘600 ( ppt fornito dalla docente)</w:t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4"/>
          <w:sz w:val="24"/>
          <w:szCs w:val="24"/>
          <w:u w:val="none"/>
          <w:vertAlign w:val="baseline"/>
        </w:rPr>
        <w:t>Passaggio dal Rinascimento all’arte sottomessa al rigido clima controriformista per arrivare all’arte Barocca.</w:t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none"/>
          <w:vertAlign w:val="baseline"/>
        </w:rPr>
        <w:t>Il CONTESTO TARDO ‘500 – INIZIO ‘600 (schede fornite dalla docente ad integrazione del libro )</w:t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4"/>
          <w:sz w:val="24"/>
          <w:szCs w:val="24"/>
          <w:u w:val="none"/>
          <w:vertAlign w:val="baseline"/>
        </w:rPr>
        <w:t>Controlli e censure; Conflitti e dissimulazioni; condanne per eresie; la perdita del centro; idee politiche, i  luoghi di cultura: corti e accademie.</w:t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position w:val="0"/>
          <w:sz w:val="20"/>
          <w:vertAlign w:val="baseline"/>
        </w:rPr>
      </w:r>
    </w:p>
    <w:p>
      <w:pPr>
        <w:pStyle w:val="Normal1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none"/>
          <w:vertAlign w:val="baseline"/>
        </w:rPr>
        <w:t>IL BAROCCO (schede fornite dalla docente ad integrazione del libro )</w:t>
      </w:r>
    </w:p>
    <w:p>
      <w:pPr>
        <w:pStyle w:val="Normal1"/>
        <w:numPr>
          <w:ilvl w:val="0"/>
          <w:numId w:val="8"/>
        </w:numPr>
        <w:ind w:left="720" w:hanging="360"/>
        <w:rPr/>
      </w:pPr>
      <w:r>
        <w:rPr>
          <w:rFonts w:eastAsia="Arial" w:cs="Arial" w:ascii="Arial" w:hAnsi="Arial"/>
          <w:position w:val="0"/>
          <w:sz w:val="24"/>
          <w:sz w:val="24"/>
          <w:szCs w:val="24"/>
          <w:u w:val="none"/>
          <w:vertAlign w:val="baseline"/>
        </w:rPr>
        <w:t>Caratteri generali del movimento</w:t>
      </w:r>
    </w:p>
    <w:p>
      <w:pPr>
        <w:pStyle w:val="Normal1"/>
        <w:numPr>
          <w:ilvl w:val="0"/>
          <w:numId w:val="8"/>
        </w:numPr>
        <w:ind w:left="720" w:hanging="360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none"/>
          <w:vertAlign w:val="baseline"/>
        </w:rPr>
        <w:t>Gian Battista Marino</w:t>
      </w:r>
    </w:p>
    <w:p>
      <w:pPr>
        <w:pStyle w:val="Normal1"/>
        <w:numPr>
          <w:ilvl w:val="0"/>
          <w:numId w:val="10"/>
        </w:numPr>
        <w:ind w:left="720" w:hanging="360"/>
        <w:rPr/>
      </w:pPr>
      <w:r>
        <w:rPr>
          <w:rFonts w:eastAsia="Arial" w:cs="Arial" w:ascii="Arial" w:hAnsi="Arial"/>
          <w:position w:val="0"/>
          <w:sz w:val="24"/>
          <w:sz w:val="24"/>
          <w:szCs w:val="24"/>
          <w:u w:val="none"/>
          <w:vertAlign w:val="baseline"/>
        </w:rPr>
        <w:t>Vita, critiche, difesa e poetica.</w:t>
      </w:r>
    </w:p>
    <w:p>
      <w:pPr>
        <w:pStyle w:val="Normal1"/>
        <w:numPr>
          <w:ilvl w:val="0"/>
          <w:numId w:val="10"/>
        </w:numPr>
        <w:ind w:left="720" w:hanging="360"/>
        <w:rPr/>
      </w:pPr>
      <w:r>
        <w:rPr>
          <w:rFonts w:eastAsia="Arial" w:cs="Arial" w:ascii="Arial" w:hAnsi="Arial"/>
          <w:i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Lettura ed analisi di </w:t>
      </w:r>
      <w:r>
        <w:rPr>
          <w:rFonts w:eastAsia="Arial" w:cs="Arial" w:ascii="Arial" w:hAnsi="Arial"/>
          <w:i/>
          <w:color w:val="000000"/>
          <w:position w:val="0"/>
          <w:sz w:val="24"/>
          <w:sz w:val="24"/>
          <w:szCs w:val="24"/>
          <w:u w:val="single"/>
          <w:vertAlign w:val="baseline"/>
        </w:rPr>
        <w:t>Donna che si pettina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, dalla </w:t>
      </w:r>
      <w:r>
        <w:rPr>
          <w:rFonts w:eastAsia="Arial" w:cs="Arial" w:ascii="Arial" w:hAnsi="Arial"/>
          <w:b/>
          <w:i/>
          <w:color w:val="000000"/>
          <w:position w:val="0"/>
          <w:sz w:val="24"/>
          <w:sz w:val="24"/>
          <w:szCs w:val="24"/>
          <w:u w:val="none"/>
          <w:vertAlign w:val="baseline"/>
        </w:rPr>
        <w:t>Li</w:t>
      </w: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none"/>
          <w:vertAlign w:val="baseline"/>
        </w:rPr>
        <w:t>ra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</w:p>
    <w:p>
      <w:pPr>
        <w:pStyle w:val="Normal1"/>
        <w:numPr>
          <w:ilvl w:val="0"/>
          <w:numId w:val="15"/>
        </w:numPr>
        <w:ind w:left="720" w:hanging="360"/>
        <w:rPr/>
      </w:pP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Analisi visiva di </w:t>
      </w:r>
      <w:r>
        <w:rPr>
          <w:rFonts w:eastAsia="Arial" w:cs="Arial" w:ascii="Arial" w:hAnsi="Arial"/>
          <w:i/>
          <w:color w:val="000000"/>
          <w:position w:val="0"/>
          <w:sz w:val="24"/>
          <w:sz w:val="24"/>
          <w:szCs w:val="24"/>
          <w:u w:val="single"/>
          <w:vertAlign w:val="baseline"/>
        </w:rPr>
        <w:t>Apollo e Dafne</w:t>
      </w:r>
      <w:r>
        <w:rPr>
          <w:rFonts w:eastAsia="Arial" w:cs="Arial" w:ascii="Arial" w:hAnsi="Arial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di Gian Lorenzo Bernini</w:t>
      </w:r>
    </w:p>
    <w:p>
      <w:pPr>
        <w:pStyle w:val="Normal1"/>
        <w:keepNext w:val="false"/>
        <w:keepLines w:val="false"/>
        <w:widowControl w:val="false"/>
        <w:numPr>
          <w:ilvl w:val="0"/>
          <w:numId w:val="13"/>
        </w:numPr>
        <w:pBdr/>
        <w:shd w:val="clear" w:fill="auto"/>
        <w:tabs>
          <w:tab w:val="clear" w:pos="720"/>
          <w:tab w:val="left" w:pos="394" w:leader="none"/>
          <w:tab w:val="left" w:pos="489" w:leader="none"/>
          <w:tab w:val="left" w:pos="514" w:leader="none"/>
        </w:tabs>
        <w:spacing w:lineRule="auto" w:line="240" w:before="0" w:after="0"/>
        <w:ind w:left="567" w:right="0" w:hanging="17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Ciro di Pers,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Orologio da rote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l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ettura ed analisi.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5" w:after="28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GALILEO GALILEI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(schede fornite dalla docente ad integrazione del libro )</w:t>
      </w:r>
    </w:p>
    <w:p>
      <w:pPr>
        <w:pStyle w:val="Normal1"/>
        <w:keepNext w:val="false"/>
        <w:keepLines w:val="false"/>
        <w:widowControl w:val="false"/>
        <w:numPr>
          <w:ilvl w:val="0"/>
          <w:numId w:val="16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vita.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6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L’elaborazione del pensiero scientifico e il metodo galileiano.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6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L’antica cosmologia aristotelico-tolemaica e il sistema copernicano.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6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Sidereus nuncius: sintesi contenuto.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6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L’epistolario e le lettere “copernicane”,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946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Lettera a Benedetto Castelli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Scienze e Fede.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Saggiatore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946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 Il linguaggio matematico e la scienza.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Dialogo sopra i due massimi sistemi del mondo, tolemaico e copernicano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946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Il principio di relatività galileiana;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II giornata, del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Dialogo sopra i due massimi sistemi.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l’esperimento da compiere sulla nave in movimento)</w:t>
      </w:r>
    </w:p>
    <w:p>
      <w:pPr>
        <w:pStyle w:val="Normal1"/>
        <w:keepNext w:val="false"/>
        <w:keepLines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Visione domestica di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ITIS GALILEO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di Marco Paolini.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13" w:right="113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L’ETÀ DELLA “RAGIONE” E DELL’ILLUMINISMO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(schede fornite dalla docente ad integrazione del libro ) </w:t>
      </w:r>
    </w:p>
    <w:p>
      <w:pPr>
        <w:pStyle w:val="Normal1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luoghi della cultura</w:t>
      </w:r>
    </w:p>
    <w:p>
      <w:pPr>
        <w:pStyle w:val="Normal1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contesto Società e cultura</w:t>
      </w:r>
    </w:p>
    <w:p>
      <w:pPr>
        <w:pStyle w:val="Normal1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storia politica, l’economia e il diritto</w:t>
      </w:r>
    </w:p>
    <w:p>
      <w:pPr>
        <w:pStyle w:val="Normal1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L’Illuminismo e lo spirito enciclopedico</w:t>
      </w:r>
    </w:p>
    <w:p>
      <w:pPr>
        <w:pStyle w:val="Normal1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Jean-Jacques Rousseau, Dal “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buon selvaggio” alla proprietà privata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dal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Discorso sull’origine dell’ineguaglianza tra gli uomini</w:t>
      </w:r>
    </w:p>
    <w:p>
      <w:pPr>
        <w:pStyle w:val="Normal1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Cesare Beccaria,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L’utilità delle pene è la negazione della loro crudeltà,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da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Dei delitti e delle pene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capp. I, XVI e XXVIII</w:t>
      </w:r>
    </w:p>
    <w:p>
      <w:pPr>
        <w:pStyle w:val="Normal1"/>
        <w:keepNext w:val="false"/>
        <w:keepLines w:val="false"/>
        <w:widowControl w:val="false"/>
        <w:numPr>
          <w:ilvl w:val="0"/>
          <w:numId w:val="2"/>
        </w:numPr>
        <w:pBdr/>
        <w:shd w:val="clear" w:fill="auto"/>
        <w:spacing w:lineRule="auto" w:line="240" w:before="0" w:after="0"/>
        <w:ind w:left="833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«Cos’è questo “Caffè”?», da “Il Caffè”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946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5" w:after="28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CARLO GOLDONI, PARINI E ALFIERI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(schede fornite dalla docente ad integrazione del libro )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85" w:after="28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Studio in parallelo dei tre grandi autori illuminati: Vita, pensiero e opere.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8"/>
        </w:numPr>
        <w:pBdr/>
        <w:shd w:val="clear" w:fill="auto"/>
        <w:spacing w:lineRule="auto" w:line="240" w:before="85" w:after="28"/>
        <w:ind w:left="720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C. Goldoni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37" w:right="0" w:hanging="17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vita.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37" w:right="0" w:hanging="17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Goldoni e l’Illuminismo.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37" w:right="0" w:hanging="17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riforma della commedia.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37" w:right="0" w:hanging="17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«Mondo» e «Teatro» nella poetica di Goldoni.</w:t>
      </w:r>
    </w:p>
    <w:p>
      <w:pPr>
        <w:pStyle w:val="Normal1"/>
        <w:keepNext w:val="false"/>
        <w:keepLines w:val="false"/>
        <w:widowControl w:val="false"/>
        <w:numPr>
          <w:ilvl w:val="0"/>
          <w:numId w:val="3"/>
        </w:numPr>
        <w:pBdr/>
        <w:shd w:val="clear" w:fill="auto"/>
        <w:spacing w:lineRule="auto" w:line="240" w:before="0" w:after="0"/>
        <w:ind w:left="737" w:right="0" w:hanging="17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locandiera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lettura integrale domestica.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Visione integrale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della commedia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locandiera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regia Giancarlo Cobelli.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19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Giuseppe Parini</w:t>
      </w:r>
    </w:p>
    <w:p>
      <w:pPr>
        <w:pStyle w:val="Normal1"/>
        <w:keepNext w:val="false"/>
        <w:keepLines w:val="false"/>
        <w:widowControl w:val="false"/>
        <w:numPr>
          <w:ilvl w:val="0"/>
          <w:numId w:val="20"/>
        </w:numPr>
        <w:pBdr/>
        <w:shd w:val="clear" w:fill="auto"/>
        <w:spacing w:lineRule="auto" w:line="240" w:before="0" w:after="0"/>
        <w:ind w:left="680" w:right="0" w:hanging="112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vita.</w:t>
      </w:r>
    </w:p>
    <w:p>
      <w:pPr>
        <w:pStyle w:val="Normal1"/>
        <w:keepNext w:val="false"/>
        <w:keepLines w:val="false"/>
        <w:widowControl w:val="false"/>
        <w:numPr>
          <w:ilvl w:val="0"/>
          <w:numId w:val="20"/>
        </w:numPr>
        <w:pBdr/>
        <w:shd w:val="clear" w:fill="auto"/>
        <w:spacing w:lineRule="auto" w:line="240" w:before="0" w:after="0"/>
        <w:ind w:left="680" w:right="0" w:hanging="112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Parini e l’Illuminismo.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20"/>
        </w:numPr>
        <w:pBdr/>
        <w:shd w:val="clear" w:fill="auto"/>
        <w:spacing w:lineRule="auto" w:line="240" w:before="0" w:after="0"/>
        <w:ind w:left="680" w:right="0" w:hanging="112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Discorso sopra la nobiltà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lettura ed analisi di frammenti significativi, confrontata con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Livella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di Totò. </w:t>
      </w:r>
    </w:p>
    <w:p>
      <w:pPr>
        <w:pStyle w:val="Normal1"/>
        <w:keepNext w:val="false"/>
        <w:keepLines w:val="false"/>
        <w:widowControl w:val="false"/>
        <w:numPr>
          <w:ilvl w:val="0"/>
          <w:numId w:val="20"/>
        </w:numPr>
        <w:pBdr/>
        <w:shd w:val="clear" w:fill="auto"/>
        <w:spacing w:lineRule="auto" w:line="240" w:before="0" w:after="0"/>
        <w:ind w:left="680" w:right="0" w:hanging="112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Odi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illuministiche: i contenuti e l’impegno civile.</w:t>
      </w:r>
    </w:p>
    <w:p>
      <w:pPr>
        <w:pStyle w:val="Normal1"/>
        <w:keepNext w:val="false"/>
        <w:keepLines w:val="false"/>
        <w:widowControl w:val="false"/>
        <w:numPr>
          <w:ilvl w:val="0"/>
          <w:numId w:val="20"/>
        </w:numPr>
        <w:pBdr/>
        <w:shd w:val="clear" w:fill="auto"/>
        <w:spacing w:lineRule="auto" w:line="240" w:before="0" w:after="0"/>
        <w:ind w:left="680" w:right="0" w:hanging="112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Giorno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la struttura, i contenuti, la satira, lo stile.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2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Il Giovin signore  inizia la sua giornata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vv 1 – 124.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28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vergine cuccia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vv. 497 – 556.</w:t>
      </w:r>
    </w:p>
    <w:p>
      <w:pPr>
        <w:pStyle w:val="Normal1"/>
        <w:keepNext w:val="false"/>
        <w:keepLines w:val="false"/>
        <w:widowControl w:val="false"/>
        <w:numPr>
          <w:ilvl w:val="0"/>
          <w:numId w:val="4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Alfieri</w:t>
      </w:r>
    </w:p>
    <w:p>
      <w:pPr>
        <w:pStyle w:val="Normal1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vita all’insegna dell’inquietudine.</w:t>
      </w:r>
    </w:p>
    <w:p>
      <w:pPr>
        <w:pStyle w:val="Normal1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rapporti con l’illuminismo.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idee politiche: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Della Tirannide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;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 Principe e delle lettere</w:t>
      </w:r>
    </w:p>
    <w:p>
      <w:pPr>
        <w:pStyle w:val="Normal1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Lettura ed analisi  di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Libertà dell’intellettuale e condizionamento economico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 Principe e delle Lettere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libro II, cap. I.</w:t>
      </w:r>
    </w:p>
    <w:p>
      <w:pPr>
        <w:pStyle w:val="Normal1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 tragedie: le ragioni della scelta.</w:t>
      </w:r>
    </w:p>
    <w:p>
      <w:pPr>
        <w:pStyle w:val="Normal1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Saul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composizione e caratteri del Saul.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04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I conflitti interiore di Saul , scene varie tratte dai cinque atti , antologizzati dal libro.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0"/>
        <w:ind w:left="927" w:right="113" w:hanging="36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Mirra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trama di ispirazione mitologica, il dramma psicologico.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104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il segreto di Mirra, atto 5°, scena II.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28"/>
        <w:ind w:left="0" w:right="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28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NEOCLASSICISMO E PREROMANTICISMO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(schede fornite dalla docente ad integrazione del libro )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28"/>
        <w:ind w:left="0" w:right="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numPr>
          <w:ilvl w:val="0"/>
          <w:numId w:val="6"/>
        </w:numPr>
        <w:pBdr/>
        <w:shd w:val="clear" w:fill="auto"/>
        <w:spacing w:lineRule="auto" w:line="240" w:before="0" w:after="28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Lettura di alcuni brani selezionati da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 dolori del giovane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28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28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 xml:space="preserve">UGO FOSCOLO </w:t>
      </w: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(schede fornite dalla docente ad integrazione del libro ) </w:t>
      </w:r>
    </w:p>
    <w:p>
      <w:pPr>
        <w:pStyle w:val="Normal1"/>
        <w:keepNext w:val="false"/>
        <w:keepLines w:val="false"/>
        <w:widowControl w:val="false"/>
        <w:numPr>
          <w:ilvl w:val="0"/>
          <w:numId w:val="9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vita, la cultura e le idee</w:t>
      </w:r>
    </w:p>
    <w:p>
      <w:pPr>
        <w:pStyle w:val="Normal1"/>
        <w:keepNext w:val="false"/>
        <w:keepLines w:val="false"/>
        <w:widowControl w:val="false"/>
        <w:numPr>
          <w:ilvl w:val="0"/>
          <w:numId w:val="9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Ultime lettere di Jacopo Ortis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, genere, trama, tematiche (confronto con l’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Werther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- «Il sacrificio della patria nostra è consumato»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- La sepoltura lacrimata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dalle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Ultime lettere di Jacopo Ortis</w:t>
      </w:r>
    </w:p>
    <w:p>
      <w:pPr>
        <w:pStyle w:val="Normal1"/>
        <w:keepNext w:val="false"/>
        <w:keepLines w:val="false"/>
        <w:widowControl w:val="false"/>
        <w:numPr>
          <w:ilvl w:val="0"/>
          <w:numId w:val="11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Odi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 i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Sonetti,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genere, tematiche, stile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- All’amica risanata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primi 30 versi.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- Alla sera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-In morte del fratello Giovanni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dai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Sonetti.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- A Zacinto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dai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Sonetti.</w:t>
      </w:r>
    </w:p>
    <w:p>
      <w:pPr>
        <w:pStyle w:val="Normal1"/>
        <w:keepNext w:val="false"/>
        <w:keepLines w:val="false"/>
        <w:widowControl w:val="false"/>
        <w:numPr>
          <w:ilvl w:val="0"/>
          <w:numId w:val="7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Dei sepolcri,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genesi, struttura, contenuti, tematiche.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28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Dei Sepolcri: vv. 1 - 90; vv 151 – 195; vv 230 – 235.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28"/>
        <w:ind w:left="0" w:right="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spacing w:lineRule="auto" w:line="240" w:before="0" w:after="28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>IL ROMANTICISMO  ( schede fornite dalla docente)</w:t>
      </w:r>
    </w:p>
    <w:p>
      <w:pPr>
        <w:pStyle w:val="Normal1"/>
        <w:spacing w:lineRule="auto" w:line="240" w:before="0" w:after="28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 xml:space="preserve">Quadro storico; aspetti culturali romantici: ‘700 e ‘800 due secoli “l’un contro l’altro armato” ; il primato del sentimento; l’arte come concezione individuale, la vita come divenire; il concetto di nazione, il problema religioso. </w:t>
      </w:r>
    </w:p>
    <w:p>
      <w:pPr>
        <w:pStyle w:val="Normal1"/>
        <w:spacing w:lineRule="auto" w:line="240" w:before="0" w:after="28"/>
        <w:rPr>
          <w:rFonts w:ascii="Arial" w:hAnsi="Arial" w:eastAsia="Arial" w:cs="Arial"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spacing w:lineRule="auto" w:line="240" w:before="0" w:after="28"/>
        <w:rPr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u w:val="single"/>
          <w:vertAlign w:val="baseline"/>
        </w:rPr>
        <w:t>ALESSANDRO MANZONI</w:t>
      </w:r>
    </w:p>
    <w:p>
      <w:pPr>
        <w:pStyle w:val="Normal1"/>
        <w:keepNext w:val="false"/>
        <w:keepLines w:val="false"/>
        <w:widowControl w:val="false"/>
        <w:numPr>
          <w:ilvl w:val="0"/>
          <w:numId w:val="12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vita</w:t>
      </w:r>
    </w:p>
    <w:p>
      <w:pPr>
        <w:pStyle w:val="Normal1"/>
        <w:keepNext w:val="false"/>
        <w:keepLines w:val="false"/>
        <w:widowControl w:val="false"/>
        <w:numPr>
          <w:ilvl w:val="0"/>
          <w:numId w:val="12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Lo stile manzoniano prima e dopo la conversione.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2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poetica: storia e invenzione poetica ( Lettera a M. Chauvet), L’utile il vero e l’interessante ( Lettera a Cesare D’Azzeglio)</w:t>
      </w:r>
    </w:p>
    <w:p>
      <w:pPr>
        <w:pStyle w:val="Normal1"/>
        <w:keepNext w:val="false"/>
        <w:keepLines w:val="false"/>
        <w:widowControl w:val="false"/>
        <w:numPr>
          <w:ilvl w:val="0"/>
          <w:numId w:val="12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poesia civile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Il cinque maggio.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2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Le tragedie:Il Conte di Carmagnola e L’Adelchi ( trama, il contrasto tra oppressi e oppressori; i cori),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Morte di Adelchi: la visione pessimistica della storia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scena VIII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da v. 338 a v. a 370</w:t>
      </w:r>
    </w:p>
    <w:p>
      <w:pPr>
        <w:pStyle w:val="Normal1"/>
        <w:keepNext w:val="false"/>
        <w:keepLines w:val="false"/>
        <w:widowControl w:val="false"/>
        <w:numPr>
          <w:ilvl w:val="0"/>
          <w:numId w:val="12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Promessi Sposi: il genere, il Seicento, l’ideale manzoniano di società, la Provvidenza, la formazione dei due protagonisti, il sugo della storia, lo stile e il problema della lingua.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2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Lettura ed analisi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«La sventurata rispose», da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promessi sposi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, cap. X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La carestia: Manzoni economista, da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 promessi sposi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cap. XII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La conclusione del romanzo: paradiso domestico e promozione sociale, da I promessi sposi, cap. XXXVIII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L’incontro tra i don Abbondio con i bravi, cap.I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28"/>
        <w:ind w:left="0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GIACOMO LEOPARDI ( schede fornite dalla docente)</w:t>
      </w:r>
    </w:p>
    <w:p>
      <w:pPr>
        <w:pStyle w:val="Normal1"/>
        <w:keepNext w:val="false"/>
        <w:keepLines w:val="false"/>
        <w:widowControl w:val="false"/>
        <w:numPr>
          <w:ilvl w:val="0"/>
          <w:numId w:val="14"/>
        </w:numPr>
        <w:pBdr/>
        <w:shd w:val="clear" w:fill="auto"/>
        <w:spacing w:lineRule="auto" w:line="240" w:before="0" w:after="0"/>
        <w:ind w:left="720" w:right="113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 vita, cultura, pensiero e opere. ( la lettura e l’analisi delle sue poesie è rimandata a settembre, come pure la verifica.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833" w:right="113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Laboratorio di scrittura.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Esercitazioni scritte varie riguardo a:</w:t>
      </w:r>
    </w:p>
    <w:p>
      <w:pPr>
        <w:pStyle w:val="Normal1"/>
        <w:keepNext w:val="false"/>
        <w:keepLines w:val="false"/>
        <w:widowControl w:val="false"/>
        <w:numPr>
          <w:ilvl w:val="0"/>
          <w:numId w:val="14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temi argomentativi ed espositivi su tematiche di attualità;.</w:t>
      </w:r>
    </w:p>
    <w:p>
      <w:pPr>
        <w:pStyle w:val="Normal1"/>
        <w:keepNext w:val="false"/>
        <w:keepLines w:val="false"/>
        <w:widowControl w:val="false"/>
        <w:numPr>
          <w:ilvl w:val="0"/>
          <w:numId w:val="14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analisi e comprensione di testi letterari;</w:t>
      </w:r>
    </w:p>
    <w:p>
      <w:pPr>
        <w:pStyle w:val="Normal1"/>
        <w:keepNext w:val="false"/>
        <w:keepLines w:val="false"/>
        <w:widowControl w:val="false"/>
        <w:numPr>
          <w:ilvl w:val="0"/>
          <w:numId w:val="14"/>
        </w:numPr>
        <w:pBdr/>
        <w:shd w:val="clear" w:fill="auto"/>
        <w:spacing w:lineRule="auto" w:line="240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u w:val="no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- analisi  di testi argomentativi non letterari relativi a temi d’ attualità – secondo le nuove normative che regolano gli Esami di stato.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11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794" w:footer="430" w:bottom="795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Noto Sans Symbols">
    <w:charset w:val="00"/>
    <w:family w:val="roman"/>
    <w:pitch w:val="variable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tbl>
    <w:tblPr>
      <w:tblStyle w:val="Table1"/>
      <w:tblW w:w="9894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9853"/>
      <w:gridCol w:w="40"/>
    </w:tblGrid>
    <w:tr>
      <w:trPr>
        <w:trHeight w:val="1916" w:hRule="atLeast"/>
      </w:trPr>
      <w:tc>
        <w:tcPr>
          <w:tcW w:w="9853" w:type="dxa"/>
          <w:tcBorders>
            <w:bottom w:val="single" w:sz="4" w:space="0" w:color="000000"/>
          </w:tcBorders>
          <w:shd w:fill="auto" w:val="clear"/>
          <w:vAlign w:val="center"/>
        </w:tcPr>
        <w:p>
          <w:pPr>
            <w:pStyle w:val="Normal1"/>
            <w:jc w:val="center"/>
            <w:rPr>
              <w:rFonts w:ascii="Verdana" w:hAnsi="Verdana" w:eastAsia="Verdana" w:cs="Verdana"/>
              <w:color w:val="000000"/>
              <w:position w:val="0"/>
              <w:sz w:val="20"/>
              <w:sz w:val="22"/>
              <w:szCs w:val="22"/>
              <w:vertAlign w:val="baseline"/>
            </w:rPr>
          </w:pPr>
          <w:r>
            <w:rPr/>
            <w:drawing>
              <wp:inline distT="0" distB="0" distL="0" distR="0">
                <wp:extent cx="306070" cy="349250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349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624840</wp:posOffset>
                </wp:positionH>
                <wp:positionV relativeFrom="paragraph">
                  <wp:posOffset>309880</wp:posOffset>
                </wp:positionV>
                <wp:extent cx="657225" cy="717550"/>
                <wp:effectExtent l="0" t="0" r="0" b="0"/>
                <wp:wrapSquare wrapText="bothSides"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8" t="-35" r="-38" b="-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1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1"/>
            <w:jc w:val="center"/>
            <w:rPr>
              <w:position w:val="0"/>
              <w:sz w:val="20"/>
              <w:vertAlign w:val="baseline"/>
            </w:rPr>
          </w:pPr>
          <w:r>
            <w:rPr>
              <w:rFonts w:eastAsia="Verdana" w:cs="Verdana" w:ascii="Verdana" w:hAnsi="Verdana"/>
              <w:color w:val="000000"/>
              <w:position w:val="0"/>
              <w:sz w:val="22"/>
              <w:sz w:val="22"/>
              <w:szCs w:val="22"/>
              <w:vertAlign w:val="baseline"/>
            </w:rPr>
            <w:t>Ministero della Pubblica Istruzione</w:t>
          </w:r>
        </w:p>
        <w:p>
          <w:pPr>
            <w:pStyle w:val="Normal1"/>
            <w:jc w:val="center"/>
            <w:rPr>
              <w:position w:val="0"/>
              <w:sz w:val="20"/>
              <w:vertAlign w:val="baseline"/>
            </w:rPr>
          </w:pPr>
          <w:r>
            <w:rPr>
              <w:rFonts w:eastAsia="Verdana" w:cs="Verdana" w:ascii="Verdana" w:hAnsi="Verdana"/>
              <w:color w:val="000000"/>
              <w:position w:val="0"/>
              <w:sz w:val="22"/>
              <w:sz w:val="22"/>
              <w:szCs w:val="22"/>
              <w:vertAlign w:val="baseline"/>
            </w:rPr>
            <w:t>I.I.S. Mario Rigoni Stern</w:t>
          </w:r>
        </w:p>
        <w:p>
          <w:pPr>
            <w:pStyle w:val="Normal1"/>
            <w:jc w:val="center"/>
            <w:rPr>
              <w:position w:val="0"/>
              <w:sz w:val="20"/>
              <w:vertAlign w:val="baseline"/>
            </w:rPr>
          </w:pPr>
          <w:r>
            <w:rPr>
              <w:rFonts w:eastAsia="Verdana" w:cs="Verdana" w:ascii="Verdana" w:hAnsi="Verdana"/>
              <w:color w:val="000000"/>
              <w:position w:val="0"/>
              <w:sz w:val="22"/>
              <w:sz w:val="22"/>
              <w:szCs w:val="22"/>
              <w:vertAlign w:val="baseline"/>
            </w:rPr>
            <w:t>Via Borgo Palazzo 128-24125 Bergamo</w:t>
          </w:r>
        </w:p>
        <w:p>
          <w:pPr>
            <w:pStyle w:val="Normal1"/>
            <w:jc w:val="center"/>
            <w:rPr>
              <w:position w:val="0"/>
              <w:sz w:val="20"/>
              <w:vertAlign w:val="baseline"/>
            </w:rPr>
          </w:pPr>
          <w:r>
            <w:rPr>
              <w:rFonts w:eastAsia="Noto Sans Symbols" w:cs="Noto Sans Symbols" w:ascii="Noto Sans Symbols" w:hAnsi="Noto Sans Symbols"/>
              <w:position w:val="0"/>
              <w:sz w:val="22"/>
              <w:sz w:val="22"/>
              <w:szCs w:val="22"/>
              <w:vertAlign w:val="baseline"/>
            </w:rPr>
            <w:t>🕾</w:t>
          </w:r>
          <w:r>
            <w:rPr>
              <w:rFonts w:eastAsia="Verdana" w:cs="Verdana" w:ascii="Verdana" w:hAnsi="Verdana"/>
              <w:position w:val="0"/>
              <w:sz w:val="22"/>
              <w:sz w:val="22"/>
              <w:szCs w:val="22"/>
              <w:vertAlign w:val="baseline"/>
            </w:rPr>
            <w:t xml:space="preserve"> </w:t>
          </w:r>
          <w:r>
            <w:rPr>
              <w:rFonts w:eastAsia="Verdana" w:cs="Verdana" w:ascii="Verdana" w:hAnsi="Verdana"/>
              <w:position w:val="0"/>
              <w:sz w:val="22"/>
              <w:sz w:val="22"/>
              <w:szCs w:val="22"/>
              <w:vertAlign w:val="baseline"/>
            </w:rPr>
            <w:t xml:space="preserve">035 220213 - </w:t>
          </w:r>
          <w:r>
            <w:rPr>
              <w:rFonts w:eastAsia="Noto Sans Symbols" w:cs="Noto Sans Symbols" w:ascii="Noto Sans Symbols" w:hAnsi="Noto Sans Symbols"/>
              <w:position w:val="0"/>
              <w:sz w:val="22"/>
              <w:sz w:val="22"/>
              <w:szCs w:val="22"/>
              <w:vertAlign w:val="baseline"/>
            </w:rPr>
            <w:t>🖷</w:t>
          </w:r>
          <w:r>
            <w:rPr>
              <w:rFonts w:eastAsia="Verdana" w:cs="Verdana" w:ascii="Verdana" w:hAnsi="Verdana"/>
              <w:position w:val="0"/>
              <w:sz w:val="22"/>
              <w:sz w:val="22"/>
              <w:szCs w:val="22"/>
              <w:vertAlign w:val="baseline"/>
            </w:rPr>
            <w:t xml:space="preserve"> 035 220410</w:t>
          </w:r>
        </w:p>
        <w:p>
          <w:pPr>
            <w:pStyle w:val="Normal1"/>
            <w:jc w:val="center"/>
            <w:rPr>
              <w:position w:val="0"/>
              <w:sz w:val="20"/>
              <w:vertAlign w:val="baseline"/>
            </w:rPr>
          </w:pPr>
          <w:r>
            <w:rPr>
              <w:rFonts w:eastAsia="Verdana" w:cs="Verdana" w:ascii="Verdana" w:hAnsi="Verdana"/>
              <w:color w:val="000000"/>
              <w:position w:val="0"/>
              <w:sz w:val="22"/>
              <w:sz w:val="22"/>
              <w:szCs w:val="22"/>
              <w:vertAlign w:val="baseline"/>
            </w:rPr>
            <w:t>Sito: http://www.iisrigonistern.it-email: BGIS03100L@istruzione.it</w:t>
          </w:r>
        </w:p>
      </w:tc>
      <w:tc>
        <w:tcPr>
          <w:tcW w:w="40" w:type="dxa"/>
          <w:tcBorders/>
          <w:shd w:fill="auto" w:val="clear"/>
        </w:tcPr>
        <w:p>
          <w:pPr>
            <w:pStyle w:val="Normal1"/>
            <w:rPr>
              <w:rFonts w:ascii="Verdana" w:hAnsi="Verdana" w:eastAsia="Verdana" w:cs="Verdana"/>
              <w:b/>
              <w:b/>
              <w:position w:val="0"/>
              <w:sz w:val="24"/>
              <w:sz w:val="24"/>
              <w:szCs w:val="24"/>
              <w:vertAlign w:val="baseline"/>
            </w:rPr>
          </w:pPr>
          <w:r>
            <w:rPr>
              <w:rFonts w:eastAsia="Verdana" w:cs="Verdana" w:ascii="Verdana" w:hAnsi="Verdana"/>
              <w:b/>
              <w:position w:val="0"/>
              <w:sz w:val="24"/>
              <w:sz w:val="24"/>
              <w:szCs w:val="24"/>
              <w:vertAlign w:val="baseline"/>
            </w:rPr>
          </w:r>
        </w:p>
      </w:tc>
    </w:tr>
    <w:tr>
      <w:trPr>
        <w:trHeight w:val="161" w:hRule="atLeast"/>
      </w:trPr>
      <w:tc>
        <w:tcPr>
          <w:tcW w:w="98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fill="auto" w:val="clear"/>
          <w:vAlign w:val="center"/>
        </w:tcPr>
        <w:p>
          <w:pPr>
            <w:pStyle w:val="Normal1"/>
            <w:jc w:val="center"/>
            <w:rPr>
              <w:position w:val="0"/>
              <w:sz w:val="20"/>
              <w:vertAlign w:val="baseline"/>
            </w:rPr>
          </w:pPr>
          <w:r>
            <w:rPr>
              <w:rFonts w:eastAsia="Verdana" w:cs="Verdana" w:ascii="Verdana" w:hAnsi="Verdana"/>
              <w:b/>
              <w:position w:val="0"/>
              <w:sz w:val="24"/>
              <w:sz w:val="24"/>
              <w:szCs w:val="24"/>
              <w:vertAlign w:val="baseline"/>
            </w:rPr>
            <w:t>PROGRAMMA SVOLTO 2019-2020 – ALL. 03/P03</w:t>
          </w:r>
        </w:p>
      </w:tc>
    </w:tr>
  </w:tbl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19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55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91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27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63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99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35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71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19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55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91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27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63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99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35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71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4">
    <w:lvl w:ilvl="0">
      <w:start w:val="3"/>
      <w:numFmt w:val="decimal"/>
      <w:lvlText w:val="%1."/>
      <w:lvlJc w:val="left"/>
      <w:pPr>
        <w:ind w:left="92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1">
      <w:start w:val="1"/>
      <w:numFmt w:val="decimal"/>
      <w:lvlText w:val="%2."/>
      <w:lvlJc w:val="left"/>
      <w:pPr>
        <w:ind w:left="128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2">
      <w:start w:val="1"/>
      <w:numFmt w:val="decimal"/>
      <w:lvlText w:val="%3."/>
      <w:lvlJc w:val="left"/>
      <w:pPr>
        <w:ind w:left="164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3">
      <w:start w:val="1"/>
      <w:numFmt w:val="decimal"/>
      <w:lvlText w:val="%4."/>
      <w:lvlJc w:val="left"/>
      <w:pPr>
        <w:ind w:left="200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4">
      <w:start w:val="1"/>
      <w:numFmt w:val="decimal"/>
      <w:lvlText w:val="%5."/>
      <w:lvlJc w:val="left"/>
      <w:pPr>
        <w:ind w:left="236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5">
      <w:start w:val="1"/>
      <w:numFmt w:val="decimal"/>
      <w:lvlText w:val="%6."/>
      <w:lvlJc w:val="left"/>
      <w:pPr>
        <w:ind w:left="272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6">
      <w:start w:val="1"/>
      <w:numFmt w:val="decimal"/>
      <w:lvlText w:val="%7."/>
      <w:lvlJc w:val="left"/>
      <w:pPr>
        <w:ind w:left="308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7">
      <w:start w:val="1"/>
      <w:numFmt w:val="decimal"/>
      <w:lvlText w:val="%8."/>
      <w:lvlJc w:val="left"/>
      <w:pPr>
        <w:ind w:left="344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8">
      <w:start w:val="1"/>
      <w:numFmt w:val="decimal"/>
      <w:lvlText w:val="%9."/>
      <w:lvlJc w:val="left"/>
      <w:pPr>
        <w:ind w:left="3807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</w:abstractNum>
  <w:abstractNum w:abstractNumId="5"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1">
      <w:start w:val="1"/>
      <w:numFmt w:val="bullet"/>
      <w:lvlText w:val="◦"/>
      <w:lvlJc w:val="left"/>
      <w:pPr>
        <w:ind w:left="128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2">
      <w:start w:val="1"/>
      <w:numFmt w:val="bullet"/>
      <w:lvlText w:val="▪"/>
      <w:lvlJc w:val="left"/>
      <w:pPr>
        <w:ind w:left="164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3">
      <w:start w:val="1"/>
      <w:numFmt w:val="bullet"/>
      <w:lvlText w:val="●"/>
      <w:lvlJc w:val="left"/>
      <w:pPr>
        <w:ind w:left="200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4">
      <w:start w:val="1"/>
      <w:numFmt w:val="bullet"/>
      <w:lvlText w:val="◦"/>
      <w:lvlJc w:val="left"/>
      <w:pPr>
        <w:ind w:left="236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5">
      <w:start w:val="1"/>
      <w:numFmt w:val="bullet"/>
      <w:lvlText w:val="▪"/>
      <w:lvlJc w:val="left"/>
      <w:pPr>
        <w:ind w:left="272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6">
      <w:start w:val="1"/>
      <w:numFmt w:val="bullet"/>
      <w:lvlText w:val="●"/>
      <w:lvlJc w:val="left"/>
      <w:pPr>
        <w:ind w:left="308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7">
      <w:start w:val="1"/>
      <w:numFmt w:val="bullet"/>
      <w:lvlText w:val="◦"/>
      <w:lvlJc w:val="left"/>
      <w:pPr>
        <w:ind w:left="344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8">
      <w:start w:val="1"/>
      <w:numFmt w:val="bullet"/>
      <w:lvlText w:val="▪"/>
      <w:lvlJc w:val="left"/>
      <w:pPr>
        <w:ind w:left="3807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13">
    <w:lvl w:ilvl="0">
      <w:start w:val="3"/>
      <w:numFmt w:val="decimal"/>
      <w:lvlText w:val="%1."/>
      <w:lvlJc w:val="left"/>
      <w:pPr>
        <w:ind w:left="83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1">
      <w:start w:val="1"/>
      <w:numFmt w:val="decimal"/>
      <w:lvlText w:val="%2."/>
      <w:lvlJc w:val="left"/>
      <w:pPr>
        <w:ind w:left="119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2">
      <w:start w:val="1"/>
      <w:numFmt w:val="decimal"/>
      <w:lvlText w:val="%3."/>
      <w:lvlJc w:val="left"/>
      <w:pPr>
        <w:ind w:left="155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3">
      <w:start w:val="1"/>
      <w:numFmt w:val="decimal"/>
      <w:lvlText w:val="%4."/>
      <w:lvlJc w:val="left"/>
      <w:pPr>
        <w:ind w:left="191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4">
      <w:start w:val="1"/>
      <w:numFmt w:val="decimal"/>
      <w:lvlText w:val="%5."/>
      <w:lvlJc w:val="left"/>
      <w:pPr>
        <w:ind w:left="227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5">
      <w:start w:val="1"/>
      <w:numFmt w:val="decimal"/>
      <w:lvlText w:val="%6."/>
      <w:lvlJc w:val="left"/>
      <w:pPr>
        <w:ind w:left="263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6">
      <w:start w:val="1"/>
      <w:numFmt w:val="decimal"/>
      <w:lvlText w:val="%7."/>
      <w:lvlJc w:val="left"/>
      <w:pPr>
        <w:ind w:left="299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7">
      <w:start w:val="1"/>
      <w:numFmt w:val="decimal"/>
      <w:lvlText w:val="%8."/>
      <w:lvlJc w:val="left"/>
      <w:pPr>
        <w:ind w:left="335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8">
      <w:start w:val="1"/>
      <w:numFmt w:val="decimal"/>
      <w:lvlText w:val="%9."/>
      <w:lvlJc w:val="left"/>
      <w:pPr>
        <w:ind w:left="3713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1">
      <w:start w:val="1"/>
      <w:numFmt w:val="bullet"/>
      <w:lvlText w:val="◦"/>
      <w:lvlJc w:val="left"/>
      <w:pPr>
        <w:ind w:left="119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2">
      <w:start w:val="1"/>
      <w:numFmt w:val="bullet"/>
      <w:lvlText w:val="▪"/>
      <w:lvlJc w:val="left"/>
      <w:pPr>
        <w:ind w:left="155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191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4">
      <w:start w:val="1"/>
      <w:numFmt w:val="bullet"/>
      <w:lvlText w:val="◦"/>
      <w:lvlJc w:val="left"/>
      <w:pPr>
        <w:ind w:left="227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5">
      <w:start w:val="1"/>
      <w:numFmt w:val="bullet"/>
      <w:lvlText w:val="▪"/>
      <w:lvlJc w:val="left"/>
      <w:pPr>
        <w:ind w:left="263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2993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szCs w:val="24"/>
        <w:rFonts w:cs="Noto Sans Symbols"/>
        <w:color w:val="000000"/>
      </w:rPr>
    </w:lvl>
    <w:lvl w:ilvl="7">
      <w:start w:val="1"/>
      <w:numFmt w:val="bullet"/>
      <w:lvlText w:val="◦"/>
      <w:lvlJc w:val="left"/>
      <w:pPr>
        <w:ind w:left="335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8">
      <w:start w:val="1"/>
      <w:numFmt w:val="bullet"/>
      <w:lvlText w:val="▪"/>
      <w:lvlJc w:val="left"/>
      <w:pPr>
        <w:ind w:left="3713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0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</w:abstractNum>
  <w:abstractNum w:abstractNumId="19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  <w:sz w:val="24"/>
        <w:b/>
        <w:szCs w:val="24"/>
        <w:rFonts w:eastAsia="Arial" w:cs="Arial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vertAlign w:val="baseline"/>
        <w:position w:val="0"/>
        <w:sz w:val="20"/>
        <w:b w:val="false"/>
        <w:rFonts w:cs="Noto Sans Symbols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5</Pages>
  <Words>1103</Words>
  <Characters>5735</Characters>
  <CharactersWithSpaces>6704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