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eastAsia="it-IT" w:bidi="ar-SA"/>
        </w:rPr>
      </w:r>
      <w:r/>
    </w:p>
    <w:p>
      <w:pPr>
        <w:pStyle w:val="Normal"/>
      </w:pPr>
      <w:r>
        <w:rPr/>
      </w:r>
      <w:r/>
    </w:p>
    <w:p>
      <w:pPr>
        <w:pStyle w:val="Titolo4"/>
      </w:pPr>
      <w:bookmarkStart w:id="0" w:name="__DdeLink__126_1447472774"/>
      <w:bookmarkStart w:id="1" w:name="__DdeLink__162_1875318910"/>
      <w:bookmarkEnd w:id="0"/>
      <w:bookmarkEnd w:id="1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  <w:tab/>
      </w:r>
      <w:r>
        <w:rPr>
          <w:b/>
          <w:bCs/>
        </w:rPr>
        <w:t xml:space="preserve">             CLASSE: 2  </w:t>
      </w:r>
      <w:r>
        <w:rPr>
          <w:b/>
          <w:bCs/>
        </w:rPr>
        <w:t>B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PROGRAMMA ED ARGOMENTI TRATTATI</w:t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  <w:t>PIA (Piano Integrazione Apprendimenti)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IL VERBO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Verbi transitivi e intransitivi, personali e impersonali, predicativi e copulativi. La voce verbale: persone, modi, tempi. Verbi irregolari. La forma: attiva, passiva, riflessiva. Verbi intransitivi pronominali.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ANALISI DEL RACCONTO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Fabula e intreccio; analessi e prolessi. Le sequenze; la struttura narrativa. Tempo della storia e tempo del racconto; il ritmo; ellissi, sommario, narrazione, scena, pausa e digressione. Il narratore e il punto vista.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Fenoglio, B., “Il gorgo”.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Rendall, R., “La casa di Hare”.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  <w:t>GRAMMATICA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LA SINTASSI DELLA FRASE SEMPLICE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STRUTTURA DELLA FRASE SEMPLICE.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Che cos'è la frase semplice. Il soggetto. Il predicato verbale. Il predicato nominale. Il predicato con i verbi copulativi e il complemento predicativo del soggetto. La frase nominale.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ESPANSIONI: ATTRIBUTO, APPOSIZIONE, COMPLEMENTI.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L'attributo. L'apposizione. Complementi diretti e indiretti. Il complemento oggetto. Complementi predicativi del soggetto e dell'oggetto. Complementi d'agente e di causa efficiente, di specificazione e affini, di termine, di vantaggio o svantaggio; complementi di luogo e di tempo, di causa e di fine, di mezzo e di modo. Complementi di compagnia, di relazione, concessivo. Complementi di limitazione, di argomento, di paragone.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LA SINTASSI DEL PERIODO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IL PERIODO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Che cos'è un periodo. Le proposizioni indipendenti. La coordinazione o paratassi. La subordinazione o ipotassi. L'analisi del periodo. Rappresentare graficamente l'analisi del periodo.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PROPOSIZIONI SUBORDINATE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soggettive. Le oggettive. Le dichiarative. Le subordinate interrogative indirette. Le proposizioni relative, temporali, causali, finali, consecutive. Le subordinate concessive, avversative, comparative.</w:t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  <w:t>ANALISI DEL TESTO</w:t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IL TESTO NARRATIVO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NARRAZIONE AUTOBIOGRAFICA E DI FORMAZIONE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Salinger, J., D., “Holden e Phoebe”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NARRAZIONE PSICOLOGICA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Pirandello, L., “Il naso di Vitangelo”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Nemirovsky, I., “Madre e figlia”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none"/>
          <w:lang w:val="it-IT" w:eastAsia="it-IT" w:bidi="ar-SA"/>
        </w:rPr>
        <w:t>IL TESTO POETICO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LA POESIA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caratteristiche della poesia. Le parole della poesia. L'io lirico e l'interlocutore.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Saba, U., “Mio padre è stato per me l'assassino”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Montale, E., “Felicità raggiunta, si cammina”.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 VERSI E IL RITMO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L'accento tonico e il computo delle sillabe. Figure metriche di fusione e di scissione delle sillabe. Accenti ed effetti ritmici: l'enbjambement.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Petrarca, F., “Solo e pensoso”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Cardarelli, V., “Autunno”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Saba, U., “Goal”.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RIME E IL METRO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 diversi tipi di rime. L'assonanza. La consonanza. Versi sciolti e versi liberi. Il metro. I diversi tipi di strofe.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Dante, “Tanto gentile e tanto onesta pare”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Sbarbaro, C., “Padre, se anche tu non fossi il mio”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IL LINGUAGGIO DELLA POESIA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Le parole della poesia. I suoni. Le figure foniche o di suono: allitterazione, onomatopea. Le figure retoriche di significato: similitudine, metafora, sinestesia, metonimia, iperbole, antitesi, ossimoro, litote, apostrofe. Le figure d'ordine: inversione, anafora, chiasmo, climax.</w:t>
      </w:r>
      <w:r/>
    </w:p>
    <w:p>
      <w:pPr>
        <w:pStyle w:val="Normal"/>
        <w:jc w:val="both"/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Montale, E., “Meriggiare pallido e assorto”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Saba, U., “Ed amai nuovamente”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Petrarca, F., “Erano i capei d'oro a l'aura sparsi”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Montale, E., “Ho sceso, dandoti il braccio”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  <w:t>- Leopardi, G., “Alla luna”.</w:t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u w:val="none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ind w:left="360" w:first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ind w:left="360" w:first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ind w:left="360" w:firstLine="36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</w:pPr>
      <w:r>
        <w:rPr>
          <w:b/>
          <w:bCs/>
          <w:sz w:val="24"/>
          <w:szCs w:val="24"/>
          <w:u w:val="single"/>
        </w:rPr>
        <w:t>COMPRENDERE E PRODURRE TESTI SCRITTI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SCRIVERE PER INFORMARE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I testi informativo-espositivi.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SCRIVERE PER PERSUADERE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I testi argomentativi.</w:t>
      </w:r>
      <w:r/>
    </w:p>
    <w:p>
      <w:pPr>
        <w:pStyle w:val="Normal"/>
        <w:jc w:val="both"/>
        <w:rPr>
          <w:sz w:val="20"/>
          <w:u w:val="single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u w:val="single"/>
          <w:lang w:val="it-IT" w:eastAsia="it-IT" w:bidi="ar-SA"/>
        </w:rPr>
      </w:r>
      <w:r/>
    </w:p>
    <w:p>
      <w:pPr>
        <w:pStyle w:val="Normal"/>
        <w:ind w:left="720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2"/>
          <w:szCs w:val="22"/>
          <w:lang w:val="it-IT" w:eastAsia="it-IT" w:bidi="ar-SA"/>
        </w:rPr>
      </w:r>
      <w:r/>
    </w:p>
    <w:p>
      <w:pPr>
        <w:pStyle w:val="Normal"/>
        <w:jc w:val="both"/>
      </w:pPr>
      <w:r>
        <w:rPr>
          <w:b/>
          <w:bCs/>
          <w:sz w:val="24"/>
          <w:szCs w:val="24"/>
          <w:u w:val="single"/>
        </w:rPr>
        <w:t>I PROMESSI SPOSI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b w:val="false"/>
          <w:bCs w:val="false"/>
          <w:sz w:val="24"/>
          <w:szCs w:val="24"/>
          <w:u w:val="none"/>
        </w:rPr>
        <w:t xml:space="preserve">Capitoli XV </w:t>
      </w:r>
      <w:bookmarkStart w:id="2" w:name="__DdeLink__153_643725493"/>
      <w:r>
        <w:rPr>
          <w:b w:val="false"/>
          <w:bCs w:val="false"/>
          <w:sz w:val="24"/>
          <w:szCs w:val="24"/>
          <w:u w:val="none"/>
        </w:rPr>
        <w:t>(sommario)</w:t>
      </w:r>
      <w:bookmarkEnd w:id="2"/>
      <w:r>
        <w:rPr>
          <w:b w:val="false"/>
          <w:bCs w:val="false"/>
          <w:sz w:val="24"/>
          <w:szCs w:val="24"/>
          <w:u w:val="none"/>
        </w:rPr>
        <w:t>, XVI, XVII, XVIII (sommario), XIX, XX, XXI, XXII, XXIII, XXIV, XXV, XXVI, XXVII-XXX (sommario), XXXI, XXXII, XXXIII, XXXV, XXXVI, XXXVII (sommario), XXXVIII.</w:t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2"/>
          <w:szCs w:val="22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</w:pPr>
      <w:r>
        <w:rPr>
          <w:b/>
          <w:bCs/>
          <w:sz w:val="24"/>
          <w:szCs w:val="24"/>
          <w:u w:val="single"/>
          <w:lang w:eastAsia="it-IT"/>
        </w:rPr>
        <w:t>EDUCAZIONE CIVICA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numPr>
          <w:ilvl w:val="0"/>
          <w:numId w:val="0"/>
        </w:numPr>
        <w:jc w:val="both"/>
        <w:rPr>
          <w:sz w:val="20"/>
          <w:u w:val="none"/>
          <w:b w:val="false"/>
          <w:sz w:val="20"/>
          <w:b w:val="false"/>
          <w:szCs w:val="20"/>
          <w:bCs w:val="false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 w:val="false"/>
          <w:bCs w:val="false"/>
          <w:color w:val="00000A"/>
          <w:sz w:val="20"/>
          <w:szCs w:val="20"/>
          <w:u w:val="none"/>
          <w:lang w:val="it-IT" w:eastAsia="it-IT" w:bidi="ar-SA"/>
        </w:rPr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27 gennaio, Giorno della memoria delle vittime dell'olocausto. Anna Frank.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 xml:space="preserve">10 febbraio, Giorno del ricordo delle vittime delle foibe e dell'esodo giuliano-dalmata. 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24 aprile, il genocidio degli armeni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 xml:space="preserve">25 aprile, la Liberazione. 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9 maggio, Giorno della memoria dedicato alle vittime del terrorismo.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u w:val="none"/>
          <w:lang w:val="it-IT" w:eastAsia="it-IT" w:bidi="ar-SA"/>
        </w:rPr>
        <w:t>2 giugno. Festa della Repubblica. Il Canto degli Italiani (Inno di Mameli)</w:t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2"/>
          <w:u w:val="single"/>
          <w:b/>
          <w:sz w:val="22"/>
          <w:b/>
          <w:bCs/>
        </w:rPr>
      </w:pPr>
      <w:r>
        <w:rPr>
          <w:b/>
          <w:bCs/>
          <w:sz w:val="24"/>
          <w:szCs w:val="24"/>
          <w:u w:val="single"/>
        </w:rPr>
        <w:t>LETTURA INTEGRALE DI: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numPr>
          <w:ilvl w:val="0"/>
          <w:numId w:val="0"/>
        </w:numPr>
        <w:jc w:val="both"/>
        <w:rPr>
          <w:sz w:val="20"/>
          <w:i/>
          <w:sz w:val="20"/>
          <w:i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/>
          <w:color w:val="00000A"/>
          <w:sz w:val="20"/>
          <w:szCs w:val="20"/>
          <w:lang w:val="it-IT" w:eastAsia="it-IT" w:bidi="ar-SA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Orwell, G., La fattoria degli animali.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Dickens, C. Il canto di Natale.</w:t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Ende, M., La storia infinita.</w:t>
      </w:r>
      <w:r/>
    </w:p>
    <w:p>
      <w:pPr>
        <w:pStyle w:val="Normal"/>
        <w:numPr>
          <w:ilvl w:val="0"/>
          <w:numId w:val="0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sz w:val="24"/>
          <w:szCs w:val="24"/>
        </w:rPr>
        <w:t>Bergamo, 5 giugno 2021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Pidipagina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  <w:r/>
  </w:p>
  <w:p>
    <w:pPr>
      <w:pStyle w:val="Pidipagina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it-IT" w:eastAsia="it-IT" w:bidi="ar-SA"/>
      </w:rPr>
    </w:pPr>
    <w:r>
      <w:rPr>
        <w:rFonts w:eastAsia="Times New Roman" w:cs="Times New Roman"/>
        <w:color w:val="00000A"/>
        <w:sz w:val="16"/>
        <w:szCs w:val="16"/>
        <w:lang w:val="it-IT" w:eastAsia="it-IT" w:bidi="ar-SA"/>
      </w:rPr>
    </w:r>
    <w:r/>
  </w:p>
  <w:p>
    <w:pPr>
      <w:pStyle w:val="Pidipagina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it-IT" w:eastAsia="it-IT" w:bidi="ar-SA"/>
      </w:rPr>
    </w:pPr>
    <w:r>
      <w:rPr>
        <w:rFonts w:eastAsia="Times New Roman" w:cs="Times New Roman"/>
        <w:color w:val="00000A"/>
        <w:sz w:val="20"/>
        <w:szCs w:val="20"/>
        <w:lang w:val="it-IT" w:eastAsia="it-IT" w:bidi="ar-SA"/>
      </w:rPr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4800" cy="35179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'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7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73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uiPriority="99" w:name="Mention"/>
    <w:lsdException w:semiHidden="1" w:unhideWhenUsed="1" w:uiPriority="99" w:name="Smart Hyperlink"/>
    <w:lsdException w:semiHidden="1" w:unhideWhenUsed="1" w:uiPriority="99" w:name="Hashtag"/>
    <w:lsdException w:semiHidden="1" w:unhideWhenUsed="1" w:uiPriority="99" w:name="Unresolved Mention"/>
    <w:lsdException w:semiHidden="1" w:unhideWhenUsed="1" w:uiPriority="99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qFormat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qFormat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qFormat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qFormat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qFormat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qFormat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qFormat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semiHidden/>
    <w:rPr/>
  </w:style>
  <w:style w:type="character" w:styleId="Pagenumber">
    <w:name w:val="page number"/>
    <w:basedOn w:val="DefaultParagraphFont"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/>
      <w:u w:val="single"/>
    </w:rPr>
  </w:style>
  <w:style w:type="character" w:styleId="ListLabel4">
    <w:name w:val="ListLabel 4"/>
    <w:rPr>
      <w:sz w:val="16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OpenSymbol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Courier New"/>
    </w:rPr>
  </w:style>
  <w:style w:type="character" w:styleId="ListLabel25">
    <w:name w:val="ListLabel 25"/>
    <w:rPr>
      <w:rFonts w:cs="Wingdings"/>
    </w:rPr>
  </w:style>
  <w:style w:type="character" w:styleId="ListLabel26">
    <w:name w:val="ListLabel 2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Courier New"/>
    </w:rPr>
  </w:style>
  <w:style w:type="character" w:styleId="ListLabel29">
    <w:name w:val="ListLabel 29"/>
    <w:rPr>
      <w:rFonts w:cs="Wingdings"/>
    </w:rPr>
  </w:style>
  <w:style w:type="character" w:styleId="ListLabel30">
    <w:name w:val="ListLabel 30"/>
    <w:rPr>
      <w:rFonts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widowControl w:val="false"/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pPr>
      <w:jc w:val="center"/>
    </w:pPr>
    <w:rPr>
      <w:b/>
      <w:sz w:val="32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pPr>
      <w:spacing w:before="0" w:after="120"/>
      <w:ind w:left="283" w:hanging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semiHidden/>
  </w:style>
  <w:style w:type="table" w:default="1" w:styleId="Tabellanorma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2678</TotalTime>
  <Application>LibreOffice/4.3.2.2$Windows_x86 LibreOffice_project/edfb5295ba211bd31ad47d0bad0118690f76407d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2020-06-08T13:26:00Z</dcterms:created>
  <dc:creator>ITAS</dc:creator>
  <dc:language>it-IT</dc:language>
  <cp:lastPrinted>2021-06-07T11:03:29Z</cp:lastPrinted>
  <dcterms:modified xsi:type="dcterms:W3CDTF">2021-06-07T11:12:09Z</dcterms:modified>
  <cp:revision>17</cp:revision>
  <dc:title>ISTITUTO TECNICO AGRARIO STATALE</dc:title>
</cp:coreProperties>
</file>