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23" w:rsidRDefault="00896E23"/>
    <w:p w:rsidR="00896E23" w:rsidRDefault="00896E23"/>
    <w:p w:rsidR="00896E23" w:rsidRDefault="00896E23"/>
    <w:p w:rsidR="00896E23" w:rsidRDefault="00BE0E31">
      <w:pPr>
        <w:pStyle w:val="Titolo4"/>
      </w:pPr>
      <w:bookmarkStart w:id="0" w:name="__DdeLink__162_1875318910"/>
      <w:bookmarkEnd w:id="0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            </w:t>
      </w:r>
      <w:r w:rsidR="00DD49DC">
        <w:rPr>
          <w:b/>
          <w:bCs/>
        </w:rPr>
        <w:t>CLASSE: 1 A</w:t>
      </w:r>
    </w:p>
    <w:p w:rsidR="00896E23" w:rsidRDefault="00896E23"/>
    <w:p w:rsidR="00896E23" w:rsidRDefault="00896E23"/>
    <w:p w:rsidR="00896E23" w:rsidRDefault="00BE0E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896E23" w:rsidRDefault="00896E23">
      <w:pPr>
        <w:rPr>
          <w:u w:val="single"/>
        </w:rPr>
      </w:pPr>
    </w:p>
    <w:p w:rsidR="00896E23" w:rsidRDefault="00896E23">
      <w:pPr>
        <w:jc w:val="both"/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BE0E3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 GRAMMATICA</w:t>
      </w:r>
    </w:p>
    <w:p w:rsidR="00896E23" w:rsidRDefault="00896E23">
      <w:pPr>
        <w:rPr>
          <w:b/>
          <w:bCs/>
          <w:sz w:val="22"/>
          <w:szCs w:val="22"/>
          <w:u w:val="single"/>
        </w:rPr>
      </w:pPr>
    </w:p>
    <w:p w:rsidR="00896E23" w:rsidRPr="0051547D" w:rsidRDefault="0051547D">
      <w:pPr>
        <w:rPr>
          <w:b/>
        </w:rPr>
      </w:pPr>
      <w:r w:rsidRPr="0051547D">
        <w:rPr>
          <w:b/>
          <w:sz w:val="22"/>
          <w:szCs w:val="22"/>
        </w:rPr>
        <w:t>I SUONI DELLE PAROLE: LA FONOLOGIA</w:t>
      </w:r>
    </w:p>
    <w:p w:rsidR="00896E23" w:rsidRDefault="00896E23">
      <w:pPr>
        <w:rPr>
          <w:sz w:val="22"/>
          <w:szCs w:val="22"/>
        </w:rPr>
      </w:pPr>
    </w:p>
    <w:p w:rsidR="00896E23" w:rsidRDefault="0051547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SUONI E LETTERE DELLA LINGUA ITALIANA</w:t>
      </w:r>
    </w:p>
    <w:p w:rsidR="00896E23" w:rsidRDefault="0051547D" w:rsidP="005154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L’alfabeto</w:t>
      </w:r>
      <w:r w:rsidR="001C140F">
        <w:rPr>
          <w:sz w:val="22"/>
          <w:szCs w:val="22"/>
        </w:rPr>
        <w:t>.</w:t>
      </w:r>
      <w:r w:rsidR="00BE0E31">
        <w:rPr>
          <w:sz w:val="22"/>
          <w:szCs w:val="22"/>
        </w:rPr>
        <w:t xml:space="preserve"> Vocali e consonanti. Le sillabe. L’accento. L’</w:t>
      </w:r>
      <w:r>
        <w:rPr>
          <w:sz w:val="22"/>
          <w:szCs w:val="22"/>
        </w:rPr>
        <w:t>elisione e il troncamento.</w:t>
      </w:r>
      <w:r w:rsidR="00BE0E31">
        <w:rPr>
          <w:sz w:val="22"/>
          <w:szCs w:val="22"/>
        </w:rPr>
        <w:t xml:space="preserve"> </w:t>
      </w:r>
    </w:p>
    <w:p w:rsidR="00896E23" w:rsidRDefault="005154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ORTOGRAFIA</w:t>
      </w:r>
    </w:p>
    <w:p w:rsidR="000E67A0" w:rsidRDefault="0051547D" w:rsidP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Come si scrivono le parole. Come e quando si usa l’accento. Quando si mette l’apostrofo tra due parole. Quando la vocale finale di una parola cade</w:t>
      </w:r>
      <w:r w:rsidR="000E67A0">
        <w:rPr>
          <w:sz w:val="22"/>
          <w:szCs w:val="22"/>
        </w:rPr>
        <w:t>. Prontuario degli errori più comuni</w:t>
      </w:r>
    </w:p>
    <w:p w:rsidR="00896E23" w:rsidRPr="000E67A0" w:rsidRDefault="000E67A0" w:rsidP="000E67A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PUNTEGGIATURA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Usare bene la punteggiatura. Prontuario delle difficoltà e degli errori più comuni. Quando si devono usare le maiuscole.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Pr="000E67A0" w:rsidRDefault="00BE0E31">
      <w:pPr>
        <w:jc w:val="both"/>
        <w:rPr>
          <w:b/>
          <w:sz w:val="22"/>
          <w:szCs w:val="22"/>
        </w:rPr>
      </w:pPr>
      <w:r w:rsidRPr="000E67A0">
        <w:rPr>
          <w:b/>
          <w:sz w:val="22"/>
          <w:szCs w:val="22"/>
        </w:rPr>
        <w:t>LA MORFOLOGIA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L’ARTICOLO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Articoli determinativi, indeterminativi, partitivi.</w:t>
      </w: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NOME</w:t>
      </w:r>
    </w:p>
    <w:p w:rsidR="00896E23" w:rsidRDefault="00BE0E3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il nome. </w:t>
      </w:r>
      <w:r w:rsidR="000E67A0">
        <w:rPr>
          <w:sz w:val="22"/>
          <w:szCs w:val="22"/>
        </w:rPr>
        <w:t xml:space="preserve">I nomi e il loro significato: nomi comuni e propri, concreti e astratti, individuali e collettivi. I nomi e la loro forma: il genere e il numero. I nomi e la loro struttura: primitivi, derivati, alterati, composti   </w:t>
      </w:r>
      <w:proofErr w:type="gramStart"/>
      <w:r w:rsidR="000E67A0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96E23" w:rsidRDefault="001C14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L’AGGETTIVO</w:t>
      </w:r>
    </w:p>
    <w:p w:rsidR="001C140F" w:rsidRDefault="001C140F" w:rsidP="001C140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l’aggettivo. L’aggettivo qualificativo. Posto e concordanza dell’aggettivo qualificativo. Aggettivi primitivi, derivati, alterati, composti. I gradi dell’aggettivo. Forme particolari. Gli aggettivi determinativi: possessivi, dimostrativi, identificativi, indefiniti, numerali, interrogativi, esclamativi            </w:t>
      </w:r>
    </w:p>
    <w:p w:rsidR="00896E23" w:rsidRPr="001C140F" w:rsidRDefault="00BE0E31" w:rsidP="001C140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1C140F">
        <w:rPr>
          <w:sz w:val="22"/>
          <w:szCs w:val="22"/>
        </w:rPr>
        <w:t xml:space="preserve">I PRONOMI 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pronome. I pronomi personali, possessivi, dimostrativi, indefiniti, relativi, misti o doppi, interrogativi, esclamativi.</w:t>
      </w:r>
      <w:r w:rsidR="00BE0E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BE0E31">
        <w:rPr>
          <w:sz w:val="22"/>
          <w:szCs w:val="22"/>
        </w:rPr>
        <w:t>.</w:t>
      </w: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VERBO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verbo. La persona e il numero. I modi e i tempi. Il genere del verbo: verbi transitivi e intransitivi. La forma del verbo: attiva, passiva, e riflessiva. La forma media. Verbi impersonali e verbi usati in forma impersonale. Verbi di “servizio”: ausiliari, servili, aspettuali e causativi. La flessione del verbo: le coniugazioni.</w:t>
      </w:r>
      <w:r w:rsidR="00BE0E3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Verbi </w:t>
      </w:r>
      <w:r w:rsidR="00BE0E31">
        <w:rPr>
          <w:sz w:val="22"/>
          <w:szCs w:val="22"/>
        </w:rPr>
        <w:t xml:space="preserve"> irregolari</w:t>
      </w:r>
      <w:proofErr w:type="gramEnd"/>
      <w:r w:rsidR="00BE0E31">
        <w:rPr>
          <w:sz w:val="22"/>
          <w:szCs w:val="22"/>
        </w:rPr>
        <w:t>.</w:t>
      </w:r>
    </w:p>
    <w:p w:rsidR="00896E23" w:rsidRDefault="00BE0E3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L’AVVERBIO</w:t>
      </w:r>
    </w:p>
    <w:p w:rsidR="00896E23" w:rsidRDefault="004C3703" w:rsidP="007124C4">
      <w:pPr>
        <w:ind w:left="708" w:firstLine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l’avverbio. Avverbi qualificativi o di modo. Gli avverbi determinativi: </w:t>
      </w:r>
      <w:r w:rsidR="007124C4">
        <w:rPr>
          <w:sz w:val="22"/>
          <w:szCs w:val="22"/>
        </w:rPr>
        <w:t xml:space="preserve">di tempo, di </w:t>
      </w:r>
      <w:proofErr w:type="gramStart"/>
      <w:r w:rsidR="007124C4">
        <w:rPr>
          <w:sz w:val="22"/>
          <w:szCs w:val="22"/>
        </w:rPr>
        <w:t>luogo,  di</w:t>
      </w:r>
      <w:proofErr w:type="gramEnd"/>
      <w:r w:rsidR="007124C4">
        <w:rPr>
          <w:sz w:val="22"/>
          <w:szCs w:val="22"/>
        </w:rPr>
        <w:t xml:space="preserve"> quantità, di valutazione, interrogativi ed esclamativi. I gradi dell’avverbio. L’alterazione dell’avverbio.          </w:t>
      </w:r>
      <w:r w:rsidR="00BE0E31">
        <w:rPr>
          <w:sz w:val="22"/>
          <w:szCs w:val="22"/>
        </w:rPr>
        <w:t>Le locuzioni avverbiali.</w:t>
      </w: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PREPOSIZIONE</w:t>
      </w:r>
    </w:p>
    <w:p w:rsid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la preposizione. Preposizioni proprie, improprie, locuzioni prepositive.</w:t>
      </w: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CONGIUNZIONE</w:t>
      </w:r>
    </w:p>
    <w:p w:rsid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la congiunzione. Congiunzioni coordinanti e subordinanti.</w:t>
      </w: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L’INTERIEZIONE</w:t>
      </w:r>
    </w:p>
    <w:p w:rsidR="007124C4" w:rsidRP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l’interiezione.</w:t>
      </w: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COMPRENDERE E PRODURRE TESTI SCRITTI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ANALISI DEL TESTO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Pr="001578C8" w:rsidRDefault="001578C8">
      <w:pPr>
        <w:jc w:val="both"/>
        <w:rPr>
          <w:b/>
          <w:sz w:val="22"/>
          <w:szCs w:val="22"/>
        </w:rPr>
      </w:pPr>
      <w:r w:rsidRPr="001578C8">
        <w:rPr>
          <w:b/>
          <w:sz w:val="22"/>
          <w:szCs w:val="22"/>
        </w:rPr>
        <w:t>I PRINCIPALI TESTI NARRATIVI: MITO, RACCONTO E NOVELLA, ROMANZO.</w:t>
      </w:r>
    </w:p>
    <w:p w:rsidR="00896E23" w:rsidRDefault="00896E23">
      <w:pPr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 ORIGINI DEL NARRARE: IL MITO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caratteri del mito. Gli dei nei miti greci e romani. Valori e sentimenti nel mito. </w:t>
      </w:r>
    </w:p>
    <w:p w:rsidR="001578C8" w:rsidRDefault="001578C8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PublioOvidio</w:t>
      </w:r>
      <w:proofErr w:type="spellEnd"/>
      <w:r>
        <w:rPr>
          <w:sz w:val="22"/>
          <w:szCs w:val="22"/>
        </w:rPr>
        <w:t xml:space="preserve"> Nasone, “L’amore rifiutato: Apollo e Dafne”</w:t>
      </w:r>
    </w:p>
    <w:p w:rsidR="001578C8" w:rsidRDefault="00CD2725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Publio O</w:t>
      </w:r>
      <w:r w:rsidR="001578C8">
        <w:rPr>
          <w:sz w:val="22"/>
          <w:szCs w:val="22"/>
        </w:rPr>
        <w:t>vidio Nasone, “Il volo di Icaro”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TANTI VOLTI, TANTE STORIE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personaggi. Presentazione e caratterizzazione dei personaggi. Personaggi “piatti” e “a tutto tondo”</w:t>
      </w:r>
      <w:r w:rsidR="004C5E33">
        <w:rPr>
          <w:sz w:val="22"/>
          <w:szCs w:val="22"/>
        </w:rPr>
        <w:t>. Protagonisti, antagonisti &amp; co.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Anton Cechov, “Il grasso e il magro”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Isaac Asimov, “</w:t>
      </w:r>
      <w:proofErr w:type="spellStart"/>
      <w:r>
        <w:rPr>
          <w:sz w:val="22"/>
          <w:szCs w:val="22"/>
        </w:rPr>
        <w:t>Luciscultura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Nicolò Ammaniti, “Aprilia GSW”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DOVE E QUANDO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Lo spazio e il tempo. Ambienti e scenari. Tempo e tempi. Tempo e ritmi.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Dino Buzzati, “Le mura di </w:t>
      </w:r>
      <w:proofErr w:type="spellStart"/>
      <w:r>
        <w:rPr>
          <w:sz w:val="22"/>
          <w:szCs w:val="22"/>
        </w:rPr>
        <w:t>Anagoor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Guy</w:t>
      </w:r>
      <w:proofErr w:type="spellEnd"/>
      <w:r>
        <w:rPr>
          <w:sz w:val="22"/>
          <w:szCs w:val="22"/>
        </w:rPr>
        <w:t xml:space="preserve"> de Maupassant, “Il ritorno”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Cesare Pavese, “Insonnia”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Somerset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Maugham</w:t>
      </w:r>
      <w:proofErr w:type="spellEnd"/>
      <w:r>
        <w:rPr>
          <w:sz w:val="22"/>
          <w:szCs w:val="22"/>
        </w:rPr>
        <w:t>, “Mabel”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E PERCHE’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Autore, narratore. La focalizzazione. </w:t>
      </w:r>
      <w:r w:rsidR="00DC03C6">
        <w:rPr>
          <w:sz w:val="22"/>
          <w:szCs w:val="22"/>
        </w:rPr>
        <w:t>La struttura del racconto: le sequenze, lo schema dei mutamenti, l’inizio e la fine della narrazione. Le scelte linguistiche e stilistiche: parole e pensieri dei personaggi (la citazione); parole e pensieri dei personaggi (il resoconto); i registri linguistici, le scelte sintat</w:t>
      </w:r>
      <w:r w:rsidR="00CD2725">
        <w:rPr>
          <w:sz w:val="22"/>
          <w:szCs w:val="22"/>
        </w:rPr>
        <w:t>t</w:t>
      </w:r>
      <w:bookmarkStart w:id="1" w:name="_GoBack"/>
      <w:bookmarkEnd w:id="1"/>
      <w:r w:rsidR="00DC03C6">
        <w:rPr>
          <w:sz w:val="22"/>
          <w:szCs w:val="22"/>
        </w:rPr>
        <w:t>iche; le figure retoriche. Temi, motivi e messaggi.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Ennio Flaiano, “L’aspirante attore”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Emilio Salgari, “La statua di </w:t>
      </w:r>
      <w:proofErr w:type="spellStart"/>
      <w:r>
        <w:rPr>
          <w:sz w:val="22"/>
          <w:szCs w:val="22"/>
        </w:rPr>
        <w:t>Visnù</w:t>
      </w:r>
      <w:proofErr w:type="spellEnd"/>
      <w:r>
        <w:rPr>
          <w:sz w:val="22"/>
          <w:szCs w:val="22"/>
        </w:rPr>
        <w:t>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DC03C6">
        <w:rPr>
          <w:sz w:val="22"/>
          <w:szCs w:val="22"/>
          <w:lang w:val="en-US"/>
        </w:rPr>
        <w:t>Fredric Brown, “</w:t>
      </w:r>
      <w:proofErr w:type="spellStart"/>
      <w:r w:rsidRPr="00DC03C6">
        <w:rPr>
          <w:sz w:val="22"/>
          <w:szCs w:val="22"/>
          <w:lang w:val="en-US"/>
        </w:rPr>
        <w:t>Incubo</w:t>
      </w:r>
      <w:proofErr w:type="spellEnd"/>
      <w:r w:rsidRPr="00DC03C6">
        <w:rPr>
          <w:sz w:val="22"/>
          <w:szCs w:val="22"/>
          <w:lang w:val="en-US"/>
        </w:rPr>
        <w:t xml:space="preserve"> in </w:t>
      </w:r>
      <w:proofErr w:type="spellStart"/>
      <w:r w:rsidRPr="00DC03C6">
        <w:rPr>
          <w:sz w:val="22"/>
          <w:szCs w:val="22"/>
          <w:lang w:val="en-US"/>
        </w:rPr>
        <w:t>giallo</w:t>
      </w:r>
      <w:proofErr w:type="spellEnd"/>
      <w:r w:rsidRPr="00DC03C6">
        <w:rPr>
          <w:sz w:val="22"/>
          <w:szCs w:val="22"/>
          <w:lang w:val="en-US"/>
        </w:rPr>
        <w:t>”</w:t>
      </w:r>
    </w:p>
    <w:p w:rsidR="002F7C60" w:rsidRPr="00DC03C6" w:rsidRDefault="002F7C60" w:rsidP="002F7C60">
      <w:pPr>
        <w:pStyle w:val="Paragrafoelenco"/>
        <w:ind w:left="1440"/>
        <w:jc w:val="both"/>
        <w:rPr>
          <w:sz w:val="22"/>
          <w:szCs w:val="22"/>
          <w:lang w:val="en-US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RACCONTO</w:t>
      </w:r>
    </w:p>
    <w:p w:rsidR="00DC03C6" w:rsidRDefault="00DC03C6" w:rsidP="00DC03C6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sottogeneri narrativi. Narrare il delitto.</w:t>
      </w:r>
    </w:p>
    <w:p w:rsidR="00DC03C6" w:rsidRDefault="00DC03C6" w:rsidP="00DC03C6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Agatha</w:t>
      </w:r>
      <w:proofErr w:type="spellEnd"/>
      <w:r>
        <w:rPr>
          <w:sz w:val="22"/>
          <w:szCs w:val="22"/>
        </w:rPr>
        <w:t xml:space="preserve"> Christie, “La tragedia di </w:t>
      </w:r>
      <w:proofErr w:type="spellStart"/>
      <w:r>
        <w:rPr>
          <w:sz w:val="22"/>
          <w:szCs w:val="22"/>
        </w:rPr>
        <w:t>Marsdon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Manor</w:t>
      </w:r>
      <w:proofErr w:type="spellEnd"/>
      <w:r>
        <w:rPr>
          <w:sz w:val="22"/>
          <w:szCs w:val="22"/>
        </w:rPr>
        <w:t>”</w:t>
      </w:r>
    </w:p>
    <w:p w:rsidR="00DC03C6" w:rsidRPr="002F7C60" w:rsidRDefault="00DC03C6" w:rsidP="00C068AE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2F7C60">
        <w:rPr>
          <w:sz w:val="22"/>
          <w:szCs w:val="22"/>
        </w:rPr>
        <w:t>Cornell</w:t>
      </w:r>
      <w:proofErr w:type="spellEnd"/>
      <w:r w:rsidRPr="002F7C60">
        <w:rPr>
          <w:sz w:val="22"/>
          <w:szCs w:val="22"/>
        </w:rPr>
        <w:t xml:space="preserve"> Woolrich, “Se morissi prima di svegliarmi”.</w:t>
      </w:r>
    </w:p>
    <w:p w:rsidR="00DC03C6" w:rsidRDefault="00DC03C6" w:rsidP="00DC03C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il fantastico. Una realtà “altra”. Tecniche della narrazione fantastica.</w:t>
      </w:r>
    </w:p>
    <w:p w:rsidR="00DC03C6" w:rsidRDefault="001035D0" w:rsidP="00DC03C6">
      <w:pPr>
        <w:pStyle w:val="Paragrafoelenc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proofErr w:type="spellStart"/>
      <w:r>
        <w:rPr>
          <w:sz w:val="22"/>
          <w:szCs w:val="22"/>
        </w:rPr>
        <w:t>Blixen</w:t>
      </w:r>
      <w:proofErr w:type="spellEnd"/>
      <w:r>
        <w:rPr>
          <w:sz w:val="22"/>
          <w:szCs w:val="22"/>
        </w:rPr>
        <w:t>, “Il racconto del mozzo”</w:t>
      </w:r>
    </w:p>
    <w:p w:rsidR="001035D0" w:rsidRDefault="001035D0" w:rsidP="00DC03C6">
      <w:pPr>
        <w:pStyle w:val="Paragrafoelenc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Isaac </w:t>
      </w:r>
      <w:proofErr w:type="spellStart"/>
      <w:r>
        <w:rPr>
          <w:sz w:val="22"/>
          <w:szCs w:val="22"/>
        </w:rPr>
        <w:t>Bashevis</w:t>
      </w:r>
      <w:proofErr w:type="spellEnd"/>
      <w:r>
        <w:rPr>
          <w:sz w:val="22"/>
          <w:szCs w:val="22"/>
        </w:rPr>
        <w:t xml:space="preserve"> Singer, “Ritrovarsi”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la paura. L’origine e l’evoluzione dell’horror.</w:t>
      </w:r>
    </w:p>
    <w:p w:rsidR="001035D0" w:rsidRDefault="001035D0" w:rsidP="001035D0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Edgar Allan Poe, “Il cuore rivelatore”</w:t>
      </w:r>
    </w:p>
    <w:p w:rsidR="001035D0" w:rsidRDefault="001035D0" w:rsidP="001035D0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Stephen King, “Alla salute della strada”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l’Io. Ogni autore è psicologo. L’indagine dell’animo umano.</w:t>
      </w:r>
    </w:p>
    <w:p w:rsidR="001035D0" w:rsidRP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Luigi Pirandello, “La patente”.</w:t>
      </w:r>
    </w:p>
    <w:p w:rsidR="00DC03C6" w:rsidRPr="00DC03C6" w:rsidRDefault="00DC03C6" w:rsidP="00DC03C6">
      <w:pPr>
        <w:ind w:left="36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ROMANZO</w:t>
      </w:r>
    </w:p>
    <w:p w:rsidR="001035D0" w:rsidRDefault="001035D0" w:rsidP="001035D0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La narrazione lunga. Breve storia del romanzo.</w:t>
      </w:r>
    </w:p>
    <w:p w:rsid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Luigi Pirandello, “Il fu Mattia Pascal”</w:t>
      </w:r>
    </w:p>
    <w:p w:rsid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Primo Levi, “Se questo è un uomo”</w:t>
      </w:r>
    </w:p>
    <w:p w:rsidR="001035D0" w:rsidRPr="001578C8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John Ronald </w:t>
      </w:r>
      <w:proofErr w:type="spellStart"/>
      <w:r>
        <w:rPr>
          <w:sz w:val="22"/>
          <w:szCs w:val="22"/>
        </w:rPr>
        <w:t>Reuel</w:t>
      </w:r>
      <w:proofErr w:type="spellEnd"/>
      <w:r>
        <w:rPr>
          <w:sz w:val="22"/>
          <w:szCs w:val="22"/>
        </w:rPr>
        <w:t xml:space="preserve"> Tolkien, “Il signore degli anelli”</w:t>
      </w:r>
    </w:p>
    <w:p w:rsidR="001578C8" w:rsidRDefault="001578C8">
      <w:pPr>
        <w:jc w:val="both"/>
        <w:rPr>
          <w:sz w:val="22"/>
          <w:szCs w:val="22"/>
        </w:rPr>
      </w:pPr>
    </w:p>
    <w:p w:rsidR="001578C8" w:rsidRDefault="001578C8">
      <w:pPr>
        <w:jc w:val="both"/>
        <w:rPr>
          <w:sz w:val="22"/>
          <w:szCs w:val="22"/>
        </w:rPr>
      </w:pPr>
    </w:p>
    <w:p w:rsidR="001578C8" w:rsidRDefault="001578C8">
      <w:pPr>
        <w:jc w:val="both"/>
        <w:rPr>
          <w:sz w:val="22"/>
          <w:szCs w:val="22"/>
        </w:rPr>
      </w:pPr>
    </w:p>
    <w:p w:rsidR="00896E23" w:rsidRPr="002F7C60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PROMESSI SPOSI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Alessandro Manzoni. La vita. Le opere. I Promessi Sposi. Un manoscritto del Seicento. </w:t>
      </w:r>
    </w:p>
    <w:p w:rsidR="00896E23" w:rsidRDefault="00BE0E31">
      <w:pPr>
        <w:jc w:val="both"/>
        <w:rPr>
          <w:sz w:val="22"/>
          <w:szCs w:val="22"/>
        </w:rPr>
      </w:pPr>
      <w:r>
        <w:rPr>
          <w:sz w:val="22"/>
          <w:szCs w:val="22"/>
        </w:rPr>
        <w:t>Capitoli I, II, III, IV, V, VI, VII, VIII, XI, XII, XIII, XIV, XV, XVI.</w:t>
      </w: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BE0E31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EDUCAZIONE CIVICA</w:t>
      </w:r>
    </w:p>
    <w:p w:rsidR="002F7C60" w:rsidRDefault="002F7C60">
      <w:pPr>
        <w:jc w:val="both"/>
      </w:pPr>
    </w:p>
    <w:p w:rsidR="00896E23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2F7C60">
        <w:rPr>
          <w:sz w:val="22"/>
          <w:szCs w:val="22"/>
        </w:rPr>
        <w:t>4 novembre</w:t>
      </w:r>
      <w:r>
        <w:rPr>
          <w:sz w:val="22"/>
          <w:szCs w:val="22"/>
        </w:rPr>
        <w:t>, Giornata dell’Unità Nazionale e delle Forze Armate</w:t>
      </w:r>
    </w:p>
    <w:p w:rsidR="002F7C60" w:rsidRPr="002F7C60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9 novembre, Giorno della Libertà (abbattimento del muro di Berlino)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27 gennaio, Giorno della memoria delle vi</w:t>
      </w:r>
      <w:r w:rsidR="002F7C60">
        <w:rPr>
          <w:sz w:val="22"/>
        </w:rPr>
        <w:t>ttime dell'olocausto</w:t>
      </w:r>
      <w:r>
        <w:rPr>
          <w:sz w:val="22"/>
        </w:rPr>
        <w:t>.</w:t>
      </w:r>
    </w:p>
    <w:p w:rsidR="00896E23" w:rsidRPr="002F7C60" w:rsidRDefault="00BE0E31">
      <w:pPr>
        <w:numPr>
          <w:ilvl w:val="0"/>
          <w:numId w:val="10"/>
        </w:numPr>
        <w:jc w:val="both"/>
      </w:pPr>
      <w:r>
        <w:rPr>
          <w:sz w:val="22"/>
        </w:rPr>
        <w:t xml:space="preserve">10 febbraio, Giorno del ricordo delle vittime delle foibe e dell'esodo giuliano-dalmata. </w:t>
      </w:r>
    </w:p>
    <w:p w:rsidR="002F7C60" w:rsidRP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17 marzo, il Regno d’Italia</w:t>
      </w:r>
    </w:p>
    <w:p w:rsid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7 aprile, il genocidio nel Ruanda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24 aprile, il genocidio degli armeni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 xml:space="preserve">25 aprile, la Liberazione. 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9 maggio, Giorno della memoria dedicato alle vittime del terrorismo.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 giugno. Festa della Repubblica. Il Canto degli Italiani (Inno di Mameli)</w:t>
      </w: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sz w:val="22"/>
        </w:rPr>
      </w:pPr>
    </w:p>
    <w:p w:rsidR="00896E23" w:rsidRDefault="00BE0E31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LETTURA INTEGRALE DI:</w:t>
      </w:r>
    </w:p>
    <w:p w:rsidR="00896E23" w:rsidRDefault="00896E23">
      <w:pPr>
        <w:jc w:val="both"/>
        <w:rPr>
          <w:sz w:val="22"/>
        </w:rPr>
      </w:pPr>
    </w:p>
    <w:p w:rsidR="00896E23" w:rsidRPr="002F7C60" w:rsidRDefault="00BE0E31">
      <w:pPr>
        <w:numPr>
          <w:ilvl w:val="0"/>
          <w:numId w:val="9"/>
        </w:numPr>
        <w:jc w:val="both"/>
      </w:pPr>
      <w:r>
        <w:rPr>
          <w:sz w:val="22"/>
        </w:rPr>
        <w:t>D’</w:t>
      </w:r>
      <w:proofErr w:type="spellStart"/>
      <w:r>
        <w:rPr>
          <w:sz w:val="22"/>
        </w:rPr>
        <w:t>Avenia</w:t>
      </w:r>
      <w:proofErr w:type="spellEnd"/>
      <w:r>
        <w:rPr>
          <w:sz w:val="22"/>
        </w:rPr>
        <w:t xml:space="preserve">, A., </w:t>
      </w:r>
      <w:r>
        <w:rPr>
          <w:i/>
          <w:sz w:val="22"/>
        </w:rPr>
        <w:t>Cose che nessuno sa.</w:t>
      </w:r>
    </w:p>
    <w:p w:rsidR="002F7C60" w:rsidRDefault="002F7C60">
      <w:pPr>
        <w:numPr>
          <w:ilvl w:val="0"/>
          <w:numId w:val="9"/>
        </w:numPr>
        <w:jc w:val="both"/>
      </w:pPr>
      <w:proofErr w:type="spellStart"/>
      <w:r>
        <w:rPr>
          <w:sz w:val="22"/>
        </w:rPr>
        <w:t>Barbery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L’eleganza del riccio</w:t>
      </w:r>
    </w:p>
    <w:p w:rsidR="00896E23" w:rsidRPr="002F7C60" w:rsidRDefault="00BE0E31">
      <w:pPr>
        <w:numPr>
          <w:ilvl w:val="0"/>
          <w:numId w:val="9"/>
        </w:numPr>
        <w:jc w:val="both"/>
        <w:rPr>
          <w:i/>
        </w:rPr>
      </w:pPr>
      <w:r>
        <w:rPr>
          <w:sz w:val="22"/>
        </w:rPr>
        <w:t xml:space="preserve">Dickens, C. </w:t>
      </w:r>
      <w:r w:rsidRPr="002F7C60">
        <w:rPr>
          <w:i/>
          <w:sz w:val="22"/>
        </w:rPr>
        <w:t>Il canto di Natale.</w:t>
      </w:r>
    </w:p>
    <w:p w:rsidR="00896E23" w:rsidRPr="002F7C60" w:rsidRDefault="00BE0E31">
      <w:pPr>
        <w:numPr>
          <w:ilvl w:val="0"/>
          <w:numId w:val="9"/>
        </w:numPr>
        <w:jc w:val="both"/>
        <w:rPr>
          <w:i/>
        </w:rPr>
      </w:pPr>
      <w:proofErr w:type="spellStart"/>
      <w:r>
        <w:rPr>
          <w:sz w:val="22"/>
        </w:rPr>
        <w:t>Ende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La storia infinita.</w:t>
      </w:r>
    </w:p>
    <w:p w:rsidR="00896E23" w:rsidRPr="002F7C60" w:rsidRDefault="00896E23">
      <w:pPr>
        <w:jc w:val="both"/>
        <w:rPr>
          <w:i/>
          <w:sz w:val="22"/>
          <w:szCs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2F7C60">
      <w:r>
        <w:rPr>
          <w:sz w:val="22"/>
          <w:szCs w:val="22"/>
        </w:rPr>
        <w:t>Bergamo, 6 giugno 2022</w:t>
      </w:r>
    </w:p>
    <w:p w:rsidR="00896E23" w:rsidRDefault="00896E23">
      <w:pPr>
        <w:rPr>
          <w:sz w:val="22"/>
        </w:rPr>
      </w:pPr>
    </w:p>
    <w:p w:rsidR="00896E23" w:rsidRDefault="00BE0E31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w:rsidR="002F7C60" w:rsidRDefault="002F7C60">
      <w:pPr>
        <w:rPr>
          <w:sz w:val="24"/>
          <w:szCs w:val="24"/>
        </w:rPr>
      </w:pPr>
      <w:r>
        <w:rPr>
          <w:sz w:val="24"/>
          <w:szCs w:val="24"/>
        </w:rPr>
        <w:t xml:space="preserve">Firma degli alunni         </w:t>
      </w:r>
      <w:r w:rsidR="00DD49DC">
        <w:rPr>
          <w:sz w:val="24"/>
          <w:szCs w:val="24"/>
        </w:rPr>
        <w:t xml:space="preserve">Cristian </w:t>
      </w:r>
      <w:proofErr w:type="spellStart"/>
      <w:r w:rsidR="00DD49DC">
        <w:rPr>
          <w:sz w:val="24"/>
          <w:szCs w:val="24"/>
        </w:rPr>
        <w:t>Bigoni</w:t>
      </w:r>
      <w:proofErr w:type="spellEnd"/>
    </w:p>
    <w:p w:rsidR="002F7C60" w:rsidRDefault="002F7C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37FC8">
        <w:rPr>
          <w:sz w:val="24"/>
          <w:szCs w:val="24"/>
        </w:rPr>
        <w:t>Marika Nicoletti</w:t>
      </w:r>
    </w:p>
    <w:p w:rsidR="00896E23" w:rsidRDefault="00896E23">
      <w:pPr>
        <w:rPr>
          <w:sz w:val="24"/>
          <w:szCs w:val="24"/>
        </w:rPr>
      </w:pPr>
    </w:p>
    <w:p w:rsidR="00896E23" w:rsidRDefault="00896E23">
      <w:pPr>
        <w:pStyle w:val="Pidipagina"/>
      </w:pPr>
      <w:bookmarkStart w:id="2" w:name="__DdeLink__126_1447472774"/>
      <w:bookmarkEnd w:id="2"/>
    </w:p>
    <w:sectPr w:rsidR="00896E23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C" w:rsidRDefault="00377F5C">
      <w:r>
        <w:separator/>
      </w:r>
    </w:p>
  </w:endnote>
  <w:endnote w:type="continuationSeparator" w:id="0">
    <w:p w:rsidR="00377F5C" w:rsidRDefault="003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23" w:rsidRDefault="00BE0E31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CD2725">
      <w:rPr>
        <w:noProof/>
      </w:rPr>
      <w:t>4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CD2725">
      <w:rPr>
        <w:noProof/>
      </w:rPr>
      <w:t>4</w:t>
    </w:r>
    <w:r>
      <w:fldChar w:fldCharType="end"/>
    </w:r>
  </w:p>
  <w:p w:rsidR="00896E23" w:rsidRDefault="00896E23">
    <w:pPr>
      <w:pStyle w:val="Pidipagina"/>
      <w:rPr>
        <w:sz w:val="16"/>
        <w:szCs w:val="16"/>
      </w:rPr>
    </w:pPr>
  </w:p>
  <w:p w:rsidR="00896E23" w:rsidRDefault="00896E23">
    <w:pPr>
      <w:pStyle w:val="Pidipagina"/>
      <w:jc w:val="center"/>
    </w:pPr>
  </w:p>
  <w:p w:rsidR="00896E23" w:rsidRDefault="00896E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C" w:rsidRDefault="00377F5C">
      <w:r>
        <w:separator/>
      </w:r>
    </w:p>
  </w:footnote>
  <w:footnote w:type="continuationSeparator" w:id="0">
    <w:p w:rsidR="00377F5C" w:rsidRDefault="0037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28"/>
    </w:tblGrid>
    <w:tr w:rsidR="00896E23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896E23" w:rsidRDefault="00BE0E31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896E23" w:rsidRDefault="00BE0E31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896E23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3" w:type="dxa"/>
          </w:tcMar>
          <w:vAlign w:val="center"/>
        </w:tcPr>
        <w:p w:rsidR="00896E23" w:rsidRDefault="00BE0E3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896E23" w:rsidRDefault="00896E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61E"/>
    <w:multiLevelType w:val="multilevel"/>
    <w:tmpl w:val="B5FAD352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>
    <w:nsid w:val="14B63FFE"/>
    <w:multiLevelType w:val="multilevel"/>
    <w:tmpl w:val="4BB61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349"/>
    <w:multiLevelType w:val="hybridMultilevel"/>
    <w:tmpl w:val="1E1ECE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05ADD"/>
    <w:multiLevelType w:val="multilevel"/>
    <w:tmpl w:val="164CC4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D23CB0"/>
    <w:multiLevelType w:val="multilevel"/>
    <w:tmpl w:val="C22823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4206F16"/>
    <w:multiLevelType w:val="multilevel"/>
    <w:tmpl w:val="E13C5C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5D67DEF"/>
    <w:multiLevelType w:val="hybridMultilevel"/>
    <w:tmpl w:val="4126C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6456"/>
    <w:multiLevelType w:val="multilevel"/>
    <w:tmpl w:val="F16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83F0916"/>
    <w:multiLevelType w:val="hybridMultilevel"/>
    <w:tmpl w:val="A95CA3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00035"/>
    <w:multiLevelType w:val="multilevel"/>
    <w:tmpl w:val="4C6AF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376672"/>
    <w:multiLevelType w:val="hybridMultilevel"/>
    <w:tmpl w:val="FC4A56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836BA"/>
    <w:multiLevelType w:val="multilevel"/>
    <w:tmpl w:val="715098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67625B8"/>
    <w:multiLevelType w:val="multilevel"/>
    <w:tmpl w:val="61AEE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0B35785"/>
    <w:multiLevelType w:val="hybridMultilevel"/>
    <w:tmpl w:val="857C71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B1487F"/>
    <w:multiLevelType w:val="multilevel"/>
    <w:tmpl w:val="EC6ED1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>
    <w:nsid w:val="72F337CE"/>
    <w:multiLevelType w:val="hybridMultilevel"/>
    <w:tmpl w:val="29C4B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642652"/>
    <w:multiLevelType w:val="hybridMultilevel"/>
    <w:tmpl w:val="850C9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9770BF"/>
    <w:multiLevelType w:val="hybridMultilevel"/>
    <w:tmpl w:val="2CA405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D1271"/>
    <w:multiLevelType w:val="multilevel"/>
    <w:tmpl w:val="4FCEF3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A526A9B"/>
    <w:multiLevelType w:val="hybridMultilevel"/>
    <w:tmpl w:val="77883C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3"/>
    <w:rsid w:val="000E67A0"/>
    <w:rsid w:val="001035D0"/>
    <w:rsid w:val="001578C8"/>
    <w:rsid w:val="001C140F"/>
    <w:rsid w:val="002F7C60"/>
    <w:rsid w:val="00377F5C"/>
    <w:rsid w:val="004C3703"/>
    <w:rsid w:val="004C5E33"/>
    <w:rsid w:val="0051547D"/>
    <w:rsid w:val="007124C4"/>
    <w:rsid w:val="00896E23"/>
    <w:rsid w:val="00BE0E31"/>
    <w:rsid w:val="00CD2725"/>
    <w:rsid w:val="00DC03C6"/>
    <w:rsid w:val="00DD49DC"/>
    <w:rsid w:val="00E21A94"/>
    <w:rsid w:val="00F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0B2C-EDEB-4D32-96F0-A41E5CB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it-IT"/>
    </w:rPr>
  </w:style>
  <w:style w:type="paragraph" w:styleId="Titolo1">
    <w:name w:val="heading 1"/>
    <w:basedOn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Guarente_Giovanni</cp:lastModifiedBy>
  <cp:revision>4</cp:revision>
  <cp:lastPrinted>2022-06-07T12:49:00Z</cp:lastPrinted>
  <dcterms:created xsi:type="dcterms:W3CDTF">2022-06-07T12:51:00Z</dcterms:created>
  <dcterms:modified xsi:type="dcterms:W3CDTF">2022-06-08T06:52:00Z</dcterms:modified>
  <dc:language>it-IT</dc:language>
</cp:coreProperties>
</file>