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DOCENTE Caridi- Calpona</w:t>
        <w:tab/>
        <w:t xml:space="preserve">DISCIPLINA Chimica</w:t>
        <w:tab/>
        <w:tab/>
        <w:t xml:space="preserve">CLASSE II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PROGRAMMA ED ARGOMENTI TRATTATI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Ripasso iniziale degli argomenti propedeutici all’anno in corso.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Cinetica chimica. Teoria cinetico-molecolare e fattori che influenzano la velocità di reazione.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Equilibrio chimico. Legge di azione di massa e calcolo della costante di equilibrio delle reazioni.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Equilibri di solubilità dei sali, calcolo della Kps. Idrolisi salina.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Equilibrio di ionizzazione di acidi e basi, calcolo della Ka e Kb. Teorie acido-base. Equilibrio di autoionizzazione dell’acqua, calcolo della Kw.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Calcolo del pH di soluzioni di acidi e basi forti e deboli.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Normalità di una soluzione di acidi, basi, sali. Titolazioni acido-base.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Reazioni di ossido-riduzione e loro bilanciamento in forma molecolare in ambiente acido e basico.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Polarità delle molecole.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Legami chimici secondari: legami dipolo-dipolo, legame ad idrogeno, forze di Van der Waals e di London.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Caratteristiche del carbonio nei composti organici, </w:t>
      </w:r>
      <w:r w:rsidDel="00000000" w:rsidR="00000000" w:rsidRPr="00000000">
        <w:rPr>
          <w:sz w:val="24"/>
          <w:szCs w:val="24"/>
          <w:rtl w:val="0"/>
        </w:rPr>
        <w:t xml:space="preserve">legame covalente.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Idrocarburi alifatici saturi: alcani e cicloalcani. Ibridazione sp3. Nomenclatura IUPAC degli alcani e dei cicloalcani. Classificazione dei gruppi alchilici. Caratteristiche fisiche</w:t>
      </w:r>
      <w:r w:rsidDel="00000000" w:rsidR="00000000" w:rsidRPr="00000000">
        <w:rPr>
          <w:sz w:val="24"/>
          <w:szCs w:val="24"/>
          <w:rtl w:val="0"/>
        </w:rPr>
        <w:t xml:space="preserve"> e chimiche degli alcani.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Idrocarburi alifatici insaturi: acheni, cicloalcheni, dieni, alchini. Ibridazioni sp2 e sp.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Nomenclatura </w:t>
      </w:r>
      <w:r w:rsidDel="00000000" w:rsidR="00000000" w:rsidRPr="00000000">
        <w:rPr>
          <w:sz w:val="24"/>
          <w:szCs w:val="24"/>
          <w:rtl w:val="0"/>
        </w:rPr>
        <w:t xml:space="preserve">e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aratteristiche fisiche</w:t>
      </w:r>
      <w:r w:rsidDel="00000000" w:rsidR="00000000" w:rsidRPr="00000000">
        <w:rPr>
          <w:sz w:val="24"/>
          <w:szCs w:val="24"/>
          <w:rtl w:val="0"/>
        </w:rPr>
        <w:t xml:space="preserve"> e chimiche.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Isomeria strutturale e conformazionale in alcani e cicloalcani e alcheni.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rincipali gruppi funzionali.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Rottura omolitica ed eterolitica dei legami covalenti.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Reazione di combustione e alogenazione degli alcani, meccanismo radicalico.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Reazione di addizione al doppio legame. Alogenazione e idratazione ad alcheni simmetrici ed asimmetrici. Regola di Markovnikov.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Educazione civica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polimeri sintetici e le plastiche: classificazione, utilizzi, smaltimento, impatto ambientale.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Laboratorio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Sicurezza, regolamento, consegna vetreria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Preparazione di soluzione a concentrazione nota (% m/V e Molarità)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velocità di reazione e fattori che la influenzano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Mobilità dell’equilibrio, verifica del principio di Le Chatelier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Famiglie chimiche e prodotti di solubilità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Acid</w:t>
      </w: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basi di uso comune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Indicatori naturali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Determinazione del pH di alcuni terreni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Normalità delle soluzioni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Titolazioni acido forte / base forte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Titolazione acido debole / base forte: determinazione dell’acidità totale del vino bianco.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Bergamo </w:t>
      </w:r>
      <w:r w:rsidDel="00000000" w:rsidR="00000000" w:rsidRPr="00000000">
        <w:rPr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/2022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94" w:top="794" w:left="1134" w:right="1134" w:header="720" w:footer="4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85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854"/>
      <w:tblGridChange w:id="0">
        <w:tblGrid>
          <w:gridCol w:w="9854"/>
        </w:tblGrid>
      </w:tblGridChange>
    </w:tblGrid>
    <w:tr>
      <w:trPr>
        <w:cantSplit w:val="0"/>
        <w:trHeight w:val="1916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02895" cy="358140"/>
                <wp:effectExtent b="0" l="0" r="0" t="0"/>
                <wp:docPr descr="repubblica" id="1029" name="image1.png"/>
                <a:graphic>
                  <a:graphicData uri="http://schemas.openxmlformats.org/drawingml/2006/picture">
                    <pic:pic>
                      <pic:nvPicPr>
                        <pic:cNvPr descr="repubblica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" cy="3581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b="0" l="0" r="0" t="0"/>
                <wp:wrapNone/>
                <wp:docPr id="1028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’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Istruzione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61" w:hRule="atLeast"/>
        <w:tblHeader w:val="0"/>
      </w:trPr>
      <w:tc>
        <w:tcPr>
          <w:tcBorders>
            <w:top w:color="000000" w:space="0" w:sz="4" w:val="single"/>
          </w:tcBorders>
          <w:vAlign w:val="center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PROGRAMMA SVOLTO – ALL. 03/P03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noProof w:val="0"/>
      <w:snapToGrid w:val="0"/>
      <w:w w:val="100"/>
      <w:position w:val="-1"/>
      <w:sz w:val="24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40"/>
      <w:effect w:val="none"/>
      <w:vertAlign w:val="baseline"/>
      <w:cs w:val="0"/>
      <w:em w:val="none"/>
      <w:lang w:bidi="ar-SA" w:eastAsia="it-IT" w:val="it-IT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i w:val="1"/>
      <w:w w:val="100"/>
      <w:position w:val="-1"/>
      <w:sz w:val="28"/>
      <w:u w:val="single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olo">
    <w:name w:val="Titolo"/>
    <w:basedOn w:val="Normale"/>
    <w:next w:val="Tito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noProof w:val="0"/>
      <w:snapToGrid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11OVInCI6nSTuKKx0k8tbNoRA==">AMUW2mVQt+HH5MBJT+o6pEmTMolEV2clCbqRrsPniQ52Rxcneke8+4EGc886TyA1XdUhLZN/iake+klMJgrqXNteKzhUMqA5jQFDsCuexuU4vbjAW1YhN5I=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2020-05-22T22:26:00Z</dcterms:created>
  <dc:creator>ITAS</dc:creator>
</cp:coreProperties>
</file>