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B2FC" w14:textId="78222FF0" w:rsidR="00E05613" w:rsidRPr="006A1996" w:rsidRDefault="00E05613" w:rsidP="00E05613">
      <w:pPr>
        <w:rPr>
          <w:rFonts w:ascii="Times New Roman" w:hAnsi="Times New Roman"/>
          <w:sz w:val="24"/>
          <w:szCs w:val="24"/>
        </w:rPr>
      </w:pPr>
      <w:r w:rsidRPr="006A1996">
        <w:rPr>
          <w:rFonts w:ascii="Times New Roman" w:hAnsi="Times New Roman"/>
          <w:b/>
          <w:sz w:val="24"/>
          <w:szCs w:val="24"/>
        </w:rPr>
        <w:t xml:space="preserve">DOCENTE: Chitarrari Silvia </w:t>
      </w:r>
      <w:r w:rsidRPr="006A1996">
        <w:rPr>
          <w:rFonts w:ascii="Times New Roman" w:hAnsi="Times New Roman"/>
          <w:b/>
          <w:sz w:val="24"/>
          <w:szCs w:val="24"/>
        </w:rPr>
        <w:tab/>
        <w:t>DISCIPLINA: Inglese</w:t>
      </w:r>
      <w:r w:rsidRPr="006A1996">
        <w:rPr>
          <w:rFonts w:ascii="Times New Roman" w:hAnsi="Times New Roman"/>
          <w:b/>
          <w:sz w:val="24"/>
          <w:szCs w:val="24"/>
        </w:rPr>
        <w:tab/>
      </w:r>
      <w:r w:rsidRPr="006A1996">
        <w:rPr>
          <w:rFonts w:ascii="Times New Roman" w:hAnsi="Times New Roman"/>
          <w:b/>
          <w:sz w:val="24"/>
          <w:szCs w:val="24"/>
        </w:rPr>
        <w:tab/>
        <w:t>CLASSE: 2</w:t>
      </w:r>
      <w:r>
        <w:rPr>
          <w:rFonts w:ascii="Times New Roman" w:hAnsi="Times New Roman"/>
          <w:b/>
          <w:sz w:val="24"/>
          <w:szCs w:val="24"/>
        </w:rPr>
        <w:t>B</w:t>
      </w:r>
      <w:r w:rsidRPr="006A1996">
        <w:rPr>
          <w:rFonts w:ascii="Times New Roman" w:hAnsi="Times New Roman"/>
          <w:b/>
          <w:sz w:val="24"/>
          <w:szCs w:val="24"/>
        </w:rPr>
        <w:t xml:space="preserve"> Tecnico</w:t>
      </w:r>
    </w:p>
    <w:p w14:paraId="490923A5" w14:textId="77777777" w:rsidR="00E05613" w:rsidRPr="006A1996" w:rsidRDefault="00E05613" w:rsidP="00E05613">
      <w:pPr>
        <w:rPr>
          <w:rFonts w:ascii="Times New Roman" w:hAnsi="Times New Roman"/>
          <w:sz w:val="24"/>
          <w:szCs w:val="24"/>
        </w:rPr>
      </w:pPr>
    </w:p>
    <w:p w14:paraId="7EA95052" w14:textId="77777777" w:rsidR="00E05613" w:rsidRPr="006A1996" w:rsidRDefault="00E05613" w:rsidP="00E0561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A199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PROGRAMMA ED ARGOMENTI TRATTATI </w:t>
      </w:r>
      <w:proofErr w:type="spellStart"/>
      <w:r w:rsidRPr="006A199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a.s.</w:t>
      </w:r>
      <w:proofErr w:type="spellEnd"/>
      <w:r w:rsidRPr="006A199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2021/2022</w:t>
      </w:r>
    </w:p>
    <w:p w14:paraId="407B62C2" w14:textId="77777777" w:rsidR="00E05613" w:rsidRDefault="00E05613" w:rsidP="00E05613">
      <w:pPr>
        <w:rPr>
          <w:rFonts w:ascii="Times New Roman" w:hAnsi="Times New Roman"/>
          <w:sz w:val="24"/>
          <w:szCs w:val="24"/>
        </w:rPr>
      </w:pPr>
      <w:bookmarkStart w:id="0" w:name="_Hlk103850410"/>
    </w:p>
    <w:p w14:paraId="588887D0" w14:textId="77777777" w:rsidR="00E05613" w:rsidRPr="0029510E" w:rsidRDefault="00E05613" w:rsidP="00E05613">
      <w:pPr>
        <w:rPr>
          <w:rFonts w:ascii="Times New Roman" w:eastAsia="Verdana" w:hAnsi="Times New Roman"/>
          <w:sz w:val="24"/>
          <w:szCs w:val="24"/>
          <w:lang w:val="en-US" w:eastAsia="zh-CN"/>
        </w:rPr>
      </w:pPr>
      <w:r w:rsidRPr="006A1996">
        <w:rPr>
          <w:rFonts w:ascii="Times New Roman" w:hAnsi="Times New Roman"/>
          <w:b/>
          <w:sz w:val="24"/>
          <w:szCs w:val="24"/>
          <w:u w:val="single"/>
          <w:lang w:val="en-US"/>
        </w:rPr>
        <w:t>TESTI</w:t>
      </w:r>
      <w:r w:rsidRPr="006A199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6A19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1996">
        <w:rPr>
          <w:rFonts w:ascii="Times New Roman" w:hAnsi="Times New Roman"/>
          <w:b/>
          <w:sz w:val="24"/>
          <w:szCs w:val="24"/>
          <w:lang w:val="en-US"/>
        </w:rPr>
        <w:t>Beyond Together</w:t>
      </w:r>
      <w:r w:rsidRPr="006A1996">
        <w:rPr>
          <w:rFonts w:ascii="Times New Roman" w:hAnsi="Times New Roman"/>
          <w:sz w:val="24"/>
          <w:szCs w:val="24"/>
          <w:lang w:val="en-US"/>
        </w:rPr>
        <w:t xml:space="preserve"> Ed. Macmillan</w:t>
      </w:r>
      <w:r>
        <w:rPr>
          <w:rFonts w:ascii="Times New Roman" w:eastAsia="Verdana" w:hAnsi="Times New Roman"/>
          <w:sz w:val="24"/>
          <w:szCs w:val="24"/>
          <w:lang w:val="en-US" w:eastAsia="zh-CN"/>
        </w:rPr>
        <w:t xml:space="preserve">, </w:t>
      </w:r>
      <w:r w:rsidRPr="006A1996">
        <w:rPr>
          <w:rFonts w:ascii="Times New Roman" w:hAnsi="Times New Roman"/>
          <w:b/>
          <w:sz w:val="24"/>
          <w:szCs w:val="24"/>
          <w:lang w:val="en-US"/>
        </w:rPr>
        <w:t>Grammar Files</w:t>
      </w:r>
      <w:r w:rsidRPr="006A1996">
        <w:rPr>
          <w:rFonts w:ascii="Times New Roman" w:hAnsi="Times New Roman"/>
          <w:sz w:val="24"/>
          <w:szCs w:val="24"/>
          <w:lang w:val="en-US"/>
        </w:rPr>
        <w:t xml:space="preserve"> Ed. Green Edition Trinity Whitebridge</w:t>
      </w:r>
    </w:p>
    <w:bookmarkEnd w:id="0"/>
    <w:p w14:paraId="08CF2084" w14:textId="77777777" w:rsidR="00E05613" w:rsidRPr="006A1996" w:rsidRDefault="00E05613" w:rsidP="00E05613">
      <w:pPr>
        <w:rPr>
          <w:rFonts w:ascii="Times New Roman" w:hAnsi="Times New Roman"/>
          <w:sz w:val="24"/>
          <w:szCs w:val="24"/>
        </w:rPr>
      </w:pP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2"/>
        <w:gridCol w:w="3598"/>
      </w:tblGrid>
      <w:tr w:rsidR="00E05613" w:rsidRPr="000A334D" w14:paraId="65056134" w14:textId="77777777" w:rsidTr="002F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F154A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                    STRUTTURE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0673C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                         FUNZIONI</w:t>
            </w:r>
          </w:p>
        </w:tc>
      </w:tr>
      <w:tr w:rsidR="00E05613" w:rsidRPr="000A334D" w14:paraId="578FD31A" w14:textId="77777777" w:rsidTr="002F5507">
        <w:trPr>
          <w:trHeight w:val="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F0433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 xml:space="preserve">UNIT 6 </w:t>
            </w:r>
            <w:r w:rsidRPr="000A334D">
              <w:rPr>
                <w:rFonts w:ascii="Times New Roman" w:hAnsi="Times New Roman"/>
                <w:color w:val="000000"/>
              </w:rPr>
              <w:t>Ripasso</w:t>
            </w:r>
            <w:r w:rsidRPr="000A33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334D">
              <w:rPr>
                <w:rFonts w:ascii="Times New Roman" w:hAnsi="Times New Roman"/>
                <w:color w:val="000000"/>
              </w:rPr>
              <w:t xml:space="preserve">Past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preposizioni ed espressioni di tempo,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Idiomatic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forms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of to be and to have, h muta</w:t>
            </w:r>
          </w:p>
          <w:p w14:paraId="3000D91E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61D68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Chiedere e parlare di eventi trascorsi </w:t>
            </w:r>
          </w:p>
          <w:p w14:paraId="38F2D987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Raccontare fatti e storie con connettori e avverbi adeguati, saper usare date ed espressioni di tempo</w:t>
            </w:r>
          </w:p>
        </w:tc>
      </w:tr>
      <w:tr w:rsidR="00E05613" w:rsidRPr="000A334D" w14:paraId="6D5C1F5F" w14:textId="77777777" w:rsidTr="002F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27C17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r w:rsidRPr="000A334D">
              <w:rPr>
                <w:rFonts w:ascii="Times New Roman" w:hAnsi="Times New Roman"/>
                <w:b/>
                <w:bCs/>
                <w:color w:val="000000"/>
              </w:rPr>
              <w:t xml:space="preserve">UNIT 7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Comparatives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superlatives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(comparativo di maggioranza, uguaglianza e minoranza,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0A334D">
              <w:rPr>
                <w:rFonts w:ascii="Times New Roman" w:hAnsi="Times New Roman"/>
                <w:color w:val="000000"/>
              </w:rPr>
              <w:t>uperlativo assoluto, relativo e di maggioranza)</w:t>
            </w:r>
            <w:r>
              <w:rPr>
                <w:rFonts w:ascii="Times New Roman" w:hAnsi="Times New Roman"/>
                <w:color w:val="000000"/>
              </w:rPr>
              <w:t>, c</w:t>
            </w:r>
            <w:r w:rsidRPr="000A334D">
              <w:rPr>
                <w:rFonts w:ascii="Times New Roman" w:hAnsi="Times New Roman"/>
                <w:color w:val="000000"/>
              </w:rPr>
              <w:t>omparativi e superlativi: costruzioni particolari: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334D">
              <w:rPr>
                <w:rFonts w:ascii="Times New Roman" w:hAnsi="Times New Roman"/>
                <w:color w:val="000000"/>
              </w:rPr>
              <w:t>sempre più/sempre meno, più…più/meno…meno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F4A8F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Fare paragoni, paragonare un elemento con un gruppo </w:t>
            </w:r>
          </w:p>
        </w:tc>
      </w:tr>
      <w:tr w:rsidR="00E05613" w:rsidRPr="000A334D" w14:paraId="6094434A" w14:textId="77777777" w:rsidTr="002F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C6E09" w14:textId="77777777" w:rsidR="00E05613" w:rsidRPr="000A334D" w:rsidRDefault="00E05613" w:rsidP="002F5507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 xml:space="preserve">UNIT  8 </w:t>
            </w:r>
            <w:r w:rsidRPr="000A334D">
              <w:rPr>
                <w:rFonts w:ascii="Times New Roman" w:hAnsi="Times New Roman"/>
                <w:color w:val="000000"/>
              </w:rPr>
              <w:t xml:space="preserve">   Be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going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to, </w:t>
            </w:r>
            <w:proofErr w:type="spellStart"/>
            <w:r>
              <w:rPr>
                <w:rFonts w:ascii="Times New Roman" w:hAnsi="Times New Roman"/>
                <w:color w:val="000000"/>
              </w:rPr>
              <w:t>w</w:t>
            </w:r>
            <w:r w:rsidRPr="000A334D">
              <w:rPr>
                <w:rFonts w:ascii="Times New Roman" w:hAnsi="Times New Roman"/>
                <w:color w:val="000000"/>
              </w:rPr>
              <w:t>ill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</w:t>
            </w:r>
            <w:r w:rsidRPr="000A334D">
              <w:rPr>
                <w:rFonts w:ascii="Times New Roman" w:hAnsi="Times New Roman"/>
                <w:color w:val="000000"/>
              </w:rPr>
              <w:t>resent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</w:t>
            </w:r>
            <w:r w:rsidRPr="000A334D">
              <w:rPr>
                <w:rFonts w:ascii="Times New Roman" w:hAnsi="Times New Roman"/>
                <w:color w:val="000000"/>
              </w:rPr>
              <w:t>imple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as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0A334D">
              <w:rPr>
                <w:rFonts w:ascii="Times New Roman" w:hAnsi="Times New Roman"/>
                <w:color w:val="000000"/>
              </w:rPr>
              <w:t xml:space="preserve">uture, </w:t>
            </w:r>
            <w:proofErr w:type="spellStart"/>
            <w:r>
              <w:rPr>
                <w:rFonts w:ascii="Times New Roman" w:hAnsi="Times New Roman"/>
                <w:color w:val="000000"/>
              </w:rPr>
              <w:t>p</w:t>
            </w:r>
            <w:r w:rsidRPr="000A334D">
              <w:rPr>
                <w:rFonts w:ascii="Times New Roman" w:hAnsi="Times New Roman"/>
                <w:color w:val="000000"/>
              </w:rPr>
              <w:t>resent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</w:t>
            </w:r>
            <w:r w:rsidRPr="000A334D">
              <w:rPr>
                <w:rFonts w:ascii="Times New Roman" w:hAnsi="Times New Roman"/>
                <w:color w:val="000000"/>
              </w:rPr>
              <w:t>ontinuous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as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0A334D">
              <w:rPr>
                <w:rFonts w:ascii="Times New Roman" w:hAnsi="Times New Roman"/>
                <w:color w:val="000000"/>
              </w:rPr>
              <w:t xml:space="preserve">uture, </w:t>
            </w:r>
            <w:proofErr w:type="spellStart"/>
            <w:r>
              <w:rPr>
                <w:rFonts w:ascii="Times New Roman" w:hAnsi="Times New Roman"/>
                <w:color w:val="000000"/>
              </w:rPr>
              <w:t>a</w:t>
            </w:r>
            <w:r w:rsidRPr="000A334D">
              <w:rPr>
                <w:rFonts w:ascii="Times New Roman" w:hAnsi="Times New Roman"/>
                <w:color w:val="000000"/>
              </w:rPr>
              <w:t>djectives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ending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by </w:t>
            </w:r>
            <w:r w:rsidRPr="000A334D">
              <w:rPr>
                <w:rFonts w:ascii="Times New Roman" w:hAnsi="Times New Roman"/>
                <w:i/>
                <w:iCs/>
                <w:color w:val="000000"/>
              </w:rPr>
              <w:t>ed</w:t>
            </w:r>
            <w:r w:rsidRPr="000A334D">
              <w:rPr>
                <w:rFonts w:ascii="Times New Roman" w:hAnsi="Times New Roman"/>
                <w:color w:val="000000"/>
              </w:rPr>
              <w:t xml:space="preserve"> e in </w:t>
            </w:r>
            <w:proofErr w:type="spellStart"/>
            <w:r w:rsidRPr="000A334D">
              <w:rPr>
                <w:rFonts w:ascii="Times New Roman" w:hAnsi="Times New Roman"/>
                <w:i/>
                <w:iCs/>
                <w:color w:val="000000"/>
              </w:rPr>
              <w:t>ing</w:t>
            </w:r>
            <w:proofErr w:type="spellEnd"/>
          </w:p>
          <w:p w14:paraId="7D85FFBF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1303D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Parlare di  azioni future, di azioni intenzionali, fare previsioni </w:t>
            </w:r>
          </w:p>
        </w:tc>
      </w:tr>
      <w:tr w:rsidR="00E05613" w:rsidRPr="000A334D" w14:paraId="57DCD255" w14:textId="77777777" w:rsidTr="002F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65164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>UNIT  9</w:t>
            </w:r>
            <w:r w:rsidRPr="000A334D">
              <w:rPr>
                <w:rFonts w:ascii="Times New Roman" w:hAnsi="Times New Roman"/>
                <w:color w:val="000000"/>
              </w:rPr>
              <w:t xml:space="preserve">   Must/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mustn’t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h</w:t>
            </w:r>
            <w:r w:rsidRPr="000A334D">
              <w:rPr>
                <w:rFonts w:ascii="Times New Roman" w:hAnsi="Times New Roman"/>
                <w:color w:val="000000"/>
              </w:rPr>
              <w:t>ave to/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don’t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have to</w:t>
            </w:r>
            <w:r>
              <w:rPr>
                <w:rFonts w:ascii="Times New Roman" w:hAnsi="Times New Roman"/>
                <w:color w:val="000000"/>
              </w:rPr>
              <w:t>, h</w:t>
            </w:r>
            <w:r w:rsidRPr="000A334D">
              <w:rPr>
                <w:rFonts w:ascii="Times New Roman" w:hAnsi="Times New Roman"/>
                <w:color w:val="000000"/>
              </w:rPr>
              <w:t xml:space="preserve">ave to vs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0A334D">
              <w:rPr>
                <w:rFonts w:ascii="Times New Roman" w:hAnsi="Times New Roman"/>
                <w:color w:val="000000"/>
              </w:rPr>
              <w:t>ust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</w:t>
            </w:r>
            <w:r w:rsidRPr="000A334D">
              <w:rPr>
                <w:rFonts w:ascii="Times New Roman" w:hAnsi="Times New Roman"/>
                <w:color w:val="000000"/>
              </w:rPr>
              <w:t>resent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perfect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D2532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Esprimere obbligo, proibizione, assenza  di necessità</w:t>
            </w:r>
          </w:p>
          <w:p w14:paraId="0118CE07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Parlare di avvenimenti recenti e passati</w:t>
            </w:r>
          </w:p>
          <w:p w14:paraId="2FA4945F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13" w:rsidRPr="000A334D" w14:paraId="4BE80FD6" w14:textId="77777777" w:rsidTr="002F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DF9B5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>UNIT  10</w:t>
            </w:r>
            <w:r w:rsidRPr="000A334D">
              <w:rPr>
                <w:rFonts w:ascii="Times New Roman" w:hAnsi="Times New Roman"/>
                <w:color w:val="000000"/>
              </w:rPr>
              <w:t xml:space="preserve"> Present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perfect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con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ever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never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just,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still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yet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already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</w:t>
            </w:r>
            <w:r w:rsidRPr="000A334D">
              <w:rPr>
                <w:rFonts w:ascii="Times New Roman" w:hAnsi="Times New Roman"/>
                <w:color w:val="000000"/>
              </w:rPr>
              <w:t>resent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perfect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con for/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since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</w:t>
            </w:r>
            <w:r w:rsidRPr="000A334D">
              <w:rPr>
                <w:rFonts w:ascii="Times New Roman" w:hAnsi="Times New Roman"/>
                <w:color w:val="000000"/>
              </w:rPr>
              <w:t>resent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perfect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vs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past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1696C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Parlare di avvenimenti recenti e passati, descrivere esperienze vissute, parlare di quanto è durata un’azione</w:t>
            </w:r>
          </w:p>
          <w:p w14:paraId="069637D1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13" w:rsidRPr="000A334D" w14:paraId="2EB361CD" w14:textId="77777777" w:rsidTr="002F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46673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>UNIT 11</w:t>
            </w:r>
            <w:r w:rsidRPr="000A334D">
              <w:rPr>
                <w:rFonts w:ascii="Times New Roman" w:hAnsi="Times New Roman"/>
                <w:color w:val="000000"/>
              </w:rPr>
              <w:t xml:space="preserve">   Past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continuous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Past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continuous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vs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past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Used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to </w:t>
            </w:r>
          </w:p>
          <w:p w14:paraId="43CB1E39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33F61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Parlare di azioni in svolgimento nel passato. Parlare di abitudini nel passato</w:t>
            </w:r>
          </w:p>
        </w:tc>
      </w:tr>
      <w:tr w:rsidR="00E05613" w:rsidRPr="000A334D" w14:paraId="22D9D78E" w14:textId="77777777" w:rsidTr="002F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BCF17" w14:textId="77777777" w:rsidR="00E05613" w:rsidRPr="000A334D" w:rsidRDefault="00E05613" w:rsidP="002F5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>UNIT  12</w:t>
            </w:r>
            <w:r w:rsidRPr="000A334D">
              <w:rPr>
                <w:rFonts w:ascii="Times New Roman" w:hAnsi="Times New Roman"/>
                <w:color w:val="000000"/>
              </w:rPr>
              <w:t xml:space="preserve">  Zero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Conditional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First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Conditional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Should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ought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to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621F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Esprimere ipotesi sempre vere, possibili, </w:t>
            </w:r>
          </w:p>
          <w:p w14:paraId="45352504" w14:textId="77777777" w:rsidR="00E05613" w:rsidRPr="000A334D" w:rsidRDefault="00E05613" w:rsidP="002F5507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Dare consigli</w:t>
            </w:r>
          </w:p>
        </w:tc>
      </w:tr>
    </w:tbl>
    <w:p w14:paraId="1A2F38E8" w14:textId="185CB86A" w:rsidR="00E05613" w:rsidRDefault="00E05613" w:rsidP="00E05613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0A334D">
        <w:rPr>
          <w:rFonts w:ascii="Times New Roman" w:hAnsi="Times New Roman"/>
          <w:sz w:val="24"/>
          <w:szCs w:val="24"/>
        </w:rPr>
        <w:br/>
      </w:r>
      <w:proofErr w:type="spellStart"/>
      <w:r w:rsidRPr="00950C68">
        <w:rPr>
          <w:rFonts w:ascii="Times New Roman" w:hAnsi="Times New Roman"/>
          <w:b/>
          <w:bCs/>
          <w:color w:val="000000"/>
          <w:sz w:val="24"/>
          <w:szCs w:val="24"/>
        </w:rPr>
        <w:t>Vocabulary</w:t>
      </w:r>
      <w:proofErr w:type="spellEnd"/>
      <w:r w:rsidRPr="00950C6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50C68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Character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personality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, Places in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town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 and shops,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Daily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 activities,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Clothes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accessories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, Places in public buildings, Food and drink, Sports and games, Festival and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celebrations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Landscape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natural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 xml:space="preserve"> features, Parts of the body.</w:t>
      </w:r>
    </w:p>
    <w:p w14:paraId="20A6D95A" w14:textId="77777777" w:rsidR="00E05613" w:rsidRPr="00950C68" w:rsidRDefault="00E05613" w:rsidP="00E0561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9510E">
        <w:rPr>
          <w:rFonts w:ascii="Times New Roman" w:hAnsi="Times New Roman"/>
          <w:b/>
          <w:bCs/>
          <w:color w:val="000000"/>
          <w:sz w:val="24"/>
          <w:szCs w:val="24"/>
        </w:rPr>
        <w:t xml:space="preserve">Readings da Beyond </w:t>
      </w:r>
      <w:proofErr w:type="spellStart"/>
      <w:r w:rsidRPr="0029510E">
        <w:rPr>
          <w:rFonts w:ascii="Times New Roman" w:hAnsi="Times New Roman"/>
          <w:b/>
          <w:bCs/>
          <w:color w:val="000000"/>
          <w:sz w:val="24"/>
          <w:szCs w:val="24"/>
        </w:rPr>
        <w:t>Together</w:t>
      </w:r>
      <w:proofErr w:type="spellEnd"/>
      <w:r w:rsidRPr="0029510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951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 xml:space="preserve">Shopping </w:t>
      </w:r>
      <w:proofErr w:type="spellStart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Tips</w:t>
      </w:r>
      <w:proofErr w:type="spellEnd"/>
      <w:r w:rsidRPr="0029510E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Changing</w:t>
      </w:r>
      <w:proofErr w:type="spellEnd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 xml:space="preserve"> shopping </w:t>
      </w:r>
      <w:proofErr w:type="spellStart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habits</w:t>
      </w:r>
      <w:proofErr w:type="spellEnd"/>
      <w:r w:rsidRPr="002951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Festivals</w:t>
      </w:r>
      <w:proofErr w:type="spellEnd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 xml:space="preserve"> in Britain</w:t>
      </w:r>
      <w:r w:rsidRPr="0029510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London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 xml:space="preserve">The Big Apple </w:t>
      </w:r>
      <w:proofErr w:type="spellStart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proofErr w:type="spellEnd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glance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National Parks: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America’s</w:t>
      </w:r>
      <w:proofErr w:type="spellEnd"/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 xml:space="preserve"> Best idea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9510E">
        <w:rPr>
          <w:rFonts w:ascii="Times New Roman" w:hAnsi="Times New Roman"/>
          <w:i/>
          <w:iCs/>
          <w:color w:val="000000"/>
          <w:sz w:val="24"/>
          <w:szCs w:val="24"/>
        </w:rPr>
        <w:t>Stonehenge</w:t>
      </w:r>
    </w:p>
    <w:p w14:paraId="3BED0698" w14:textId="77777777" w:rsidR="00E05613" w:rsidRPr="00787859" w:rsidRDefault="00E05613" w:rsidP="00E05613">
      <w:pPr>
        <w:jc w:val="both"/>
        <w:rPr>
          <w:rFonts w:ascii="Times New Roman" w:hAnsi="Times New Roman"/>
          <w:sz w:val="24"/>
          <w:szCs w:val="24"/>
        </w:rPr>
      </w:pPr>
      <w:r w:rsidRPr="00950C68">
        <w:rPr>
          <w:rFonts w:ascii="Times New Roman" w:hAnsi="Times New Roman"/>
          <w:b/>
          <w:bCs/>
          <w:color w:val="000000"/>
          <w:sz w:val="24"/>
          <w:szCs w:val="24"/>
        </w:rPr>
        <w:t>Attività di approfondimento</w:t>
      </w:r>
      <w:r w:rsidRPr="00950C6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950C68">
        <w:rPr>
          <w:rFonts w:ascii="Times New Roman" w:hAnsi="Times New Roman"/>
          <w:color w:val="000000"/>
          <w:sz w:val="24"/>
          <w:szCs w:val="24"/>
        </w:rPr>
        <w:t>ecniche di lettura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0C68">
        <w:rPr>
          <w:rFonts w:ascii="Times New Roman" w:hAnsi="Times New Roman"/>
          <w:color w:val="000000"/>
          <w:sz w:val="24"/>
          <w:szCs w:val="24"/>
        </w:rPr>
        <w:t>Skimming</w:t>
      </w:r>
      <w:proofErr w:type="spellEnd"/>
      <w:r w:rsidRPr="00950C68">
        <w:rPr>
          <w:rFonts w:ascii="Times New Roman" w:hAnsi="Times New Roman"/>
          <w:color w:val="000000"/>
          <w:sz w:val="24"/>
          <w:szCs w:val="24"/>
        </w:rPr>
        <w:t>, Scanning e Intensive reading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C68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 xml:space="preserve">la loro </w:t>
      </w:r>
      <w:r w:rsidRPr="00950C68">
        <w:rPr>
          <w:rFonts w:ascii="Times New Roman" w:hAnsi="Times New Roman"/>
          <w:color w:val="000000"/>
          <w:sz w:val="24"/>
          <w:szCs w:val="24"/>
        </w:rPr>
        <w:t>applica</w:t>
      </w:r>
      <w:r>
        <w:rPr>
          <w:rFonts w:ascii="Times New Roman" w:hAnsi="Times New Roman"/>
          <w:color w:val="000000"/>
          <w:sz w:val="24"/>
          <w:szCs w:val="24"/>
        </w:rPr>
        <w:t xml:space="preserve">zione ai testi, </w:t>
      </w:r>
      <w:r w:rsidRPr="00950C68">
        <w:rPr>
          <w:rFonts w:ascii="Times New Roman" w:hAnsi="Times New Roman"/>
          <w:color w:val="000000"/>
          <w:sz w:val="24"/>
          <w:szCs w:val="24"/>
        </w:rPr>
        <w:t xml:space="preserve"> esercitazioni in preparazione al PET </w:t>
      </w:r>
    </w:p>
    <w:p w14:paraId="0F22D834" w14:textId="77777777" w:rsidR="00E05613" w:rsidRDefault="00E05613" w:rsidP="00E05613">
      <w:pPr>
        <w:rPr>
          <w:rFonts w:ascii="Times New Roman" w:hAnsi="Times New Roman"/>
          <w:color w:val="000000"/>
          <w:sz w:val="24"/>
          <w:szCs w:val="24"/>
        </w:rPr>
      </w:pPr>
    </w:p>
    <w:p w14:paraId="46CCF458" w14:textId="77777777" w:rsidR="00E05613" w:rsidRPr="0029510E" w:rsidRDefault="00E05613" w:rsidP="00E056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3A3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EDUCAZIONE CIVICA</w:t>
      </w:r>
      <w:r w:rsidRPr="00313A3C">
        <w:rPr>
          <w:rFonts w:ascii="Times New Roman" w:hAnsi="Times New Roman"/>
          <w:sz w:val="24"/>
          <w:szCs w:val="24"/>
          <w:u w:val="single"/>
          <w:lang w:val="en-GB"/>
        </w:rPr>
        <w:t>:</w:t>
      </w:r>
      <w:r w:rsidRPr="00313A3C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29510E">
        <w:rPr>
          <w:rFonts w:ascii="Times New Roman" w:hAnsi="Times New Roman"/>
          <w:color w:val="000000"/>
          <w:sz w:val="24"/>
          <w:szCs w:val="24"/>
        </w:rPr>
        <w:t>“</w:t>
      </w:r>
      <w:r w:rsidRPr="0029510E">
        <w:rPr>
          <w:rFonts w:ascii="Times New Roman" w:hAnsi="Times New Roman"/>
          <w:sz w:val="24"/>
          <w:szCs w:val="24"/>
        </w:rPr>
        <w:t xml:space="preserve">Environment and lifestyle: no one </w:t>
      </w:r>
      <w:proofErr w:type="spellStart"/>
      <w:r w:rsidRPr="0029510E">
        <w:rPr>
          <w:rFonts w:ascii="Times New Roman" w:hAnsi="Times New Roman"/>
          <w:sz w:val="24"/>
          <w:szCs w:val="24"/>
        </w:rPr>
        <w:t>is</w:t>
      </w:r>
      <w:proofErr w:type="spellEnd"/>
      <w:r w:rsidRPr="00295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10E">
        <w:rPr>
          <w:rFonts w:ascii="Times New Roman" w:hAnsi="Times New Roman"/>
          <w:sz w:val="24"/>
          <w:szCs w:val="24"/>
        </w:rPr>
        <w:t>too</w:t>
      </w:r>
      <w:proofErr w:type="spellEnd"/>
      <w:r w:rsidRPr="00295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10E">
        <w:rPr>
          <w:rFonts w:ascii="Times New Roman" w:hAnsi="Times New Roman"/>
          <w:sz w:val="24"/>
          <w:szCs w:val="24"/>
        </w:rPr>
        <w:t>young</w:t>
      </w:r>
      <w:proofErr w:type="spellEnd"/>
      <w:r w:rsidRPr="0029510E">
        <w:rPr>
          <w:rFonts w:ascii="Times New Roman" w:hAnsi="Times New Roman"/>
          <w:sz w:val="24"/>
          <w:szCs w:val="24"/>
        </w:rPr>
        <w:t xml:space="preserve"> to make a </w:t>
      </w:r>
      <w:proofErr w:type="spellStart"/>
      <w:r w:rsidRPr="0029510E">
        <w:rPr>
          <w:rFonts w:ascii="Times New Roman" w:hAnsi="Times New Roman"/>
          <w:sz w:val="24"/>
          <w:szCs w:val="24"/>
        </w:rPr>
        <w:t>difference</w:t>
      </w:r>
      <w:proofErr w:type="spellEnd"/>
      <w:r w:rsidRPr="0029510E">
        <w:rPr>
          <w:rFonts w:ascii="Times New Roman" w:hAnsi="Times New Roman"/>
          <w:sz w:val="24"/>
          <w:szCs w:val="24"/>
        </w:rPr>
        <w:t xml:space="preserve">”   </w:t>
      </w:r>
    </w:p>
    <w:p w14:paraId="3FC6A950" w14:textId="77777777" w:rsidR="00E05613" w:rsidRDefault="00E05613" w:rsidP="00E0561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810F7">
        <w:rPr>
          <w:rFonts w:ascii="Times New Roman" w:hAnsi="Times New Roman"/>
          <w:b/>
          <w:bCs/>
          <w:sz w:val="24"/>
          <w:szCs w:val="24"/>
        </w:rPr>
        <w:t>Metodologia: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Group work ( creazione di presentazioni multimediali)</w:t>
      </w:r>
    </w:p>
    <w:p w14:paraId="435A37A1" w14:textId="77777777" w:rsidR="00E05613" w:rsidRPr="005835AF" w:rsidRDefault="00E05613" w:rsidP="00E0561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150B91">
        <w:rPr>
          <w:rFonts w:ascii="Times New Roman" w:hAnsi="Times New Roman"/>
          <w:b/>
          <w:bCs/>
          <w:color w:val="000000"/>
          <w:sz w:val="24"/>
          <w:szCs w:val="24"/>
        </w:rPr>
        <w:t>Contenuti</w:t>
      </w:r>
      <w:r w:rsidRPr="00313A3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Fridays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for future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movement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Greta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Thunberg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Felix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Finkbeiner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Leah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Namugerwa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Miriam Martinelli, Teenagers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sustainability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What’s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14:paraId="771505F5" w14:textId="77777777" w:rsidR="00E05613" w:rsidRDefault="00E05613" w:rsidP="00E05613">
      <w:pPr>
        <w:rPr>
          <w:rFonts w:ascii="Times New Roman" w:hAnsi="Times New Roman"/>
          <w:color w:val="000000"/>
        </w:rPr>
      </w:pPr>
    </w:p>
    <w:p w14:paraId="7C928C79" w14:textId="37930C42" w:rsidR="00E05613" w:rsidRDefault="00E05613" w:rsidP="00E05613">
      <w:pPr>
        <w:rPr>
          <w:rFonts w:ascii="Times New Roman" w:hAnsi="Times New Roman"/>
          <w:sz w:val="24"/>
          <w:szCs w:val="24"/>
          <w:u w:val="single"/>
        </w:rPr>
      </w:pPr>
      <w:r w:rsidRPr="00372CCF">
        <w:rPr>
          <w:rFonts w:ascii="Times New Roman" w:hAnsi="Times New Roman"/>
          <w:color w:val="000000"/>
          <w:sz w:val="24"/>
          <w:szCs w:val="24"/>
        </w:rPr>
        <w:t xml:space="preserve">Bergamo,  </w:t>
      </w:r>
      <w:r w:rsidR="00B20C28">
        <w:rPr>
          <w:rFonts w:ascii="Times New Roman" w:hAnsi="Times New Roman"/>
          <w:color w:val="000000"/>
          <w:sz w:val="24"/>
          <w:szCs w:val="24"/>
        </w:rPr>
        <w:t>3</w:t>
      </w:r>
      <w:r w:rsidRPr="00372CCF">
        <w:rPr>
          <w:rFonts w:ascii="Times New Roman" w:hAnsi="Times New Roman"/>
          <w:color w:val="000000"/>
          <w:sz w:val="24"/>
          <w:szCs w:val="24"/>
        </w:rPr>
        <w:t xml:space="preserve"> giugno 202</w:t>
      </w:r>
      <w:r>
        <w:rPr>
          <w:rFonts w:ascii="Times New Roman" w:hAnsi="Times New Roman"/>
          <w:color w:val="000000"/>
          <w:sz w:val="24"/>
          <w:szCs w:val="24"/>
        </w:rPr>
        <w:t xml:space="preserve">2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Il docente                                                        </w:t>
      </w:r>
    </w:p>
    <w:p w14:paraId="1D24038E" w14:textId="77777777" w:rsidR="00E05613" w:rsidRPr="004C6DD8" w:rsidRDefault="00E05613" w:rsidP="00E05613">
      <w:pPr>
        <w:rPr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C6DD8">
        <w:rPr>
          <w:rFonts w:ascii="Times New Roman" w:hAnsi="Times New Roman"/>
          <w:i/>
          <w:iCs/>
          <w:sz w:val="24"/>
          <w:szCs w:val="24"/>
        </w:rPr>
        <w:t>Silvia Chitarrari</w:t>
      </w:r>
    </w:p>
    <w:p w14:paraId="013C6E60" w14:textId="7A03EC65" w:rsidR="00682343" w:rsidRPr="0047796D" w:rsidRDefault="00682343" w:rsidP="00E05613"/>
    <w:sectPr w:rsidR="00682343" w:rsidRPr="0047796D" w:rsidSect="00A10943">
      <w:headerReference w:type="default" r:id="rId6"/>
      <w:footerReference w:type="even" r:id="rId7"/>
      <w:footerReference w:type="default" r:id="rId8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31F4" w14:textId="77777777" w:rsidR="007A1A6C" w:rsidRDefault="007A1A6C">
      <w:r>
        <w:separator/>
      </w:r>
    </w:p>
  </w:endnote>
  <w:endnote w:type="continuationSeparator" w:id="0">
    <w:p w14:paraId="2AB884ED" w14:textId="77777777" w:rsidR="007A1A6C" w:rsidRDefault="007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EB23" w14:textId="77777777" w:rsidR="00D1625B" w:rsidRDefault="006823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5F717B" w14:textId="77777777" w:rsidR="00D1625B" w:rsidRDefault="007A1A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C04D" w14:textId="77777777" w:rsidR="00A10943" w:rsidRDefault="006823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488B" w14:textId="77777777" w:rsidR="007A1A6C" w:rsidRDefault="007A1A6C">
      <w:r>
        <w:separator/>
      </w:r>
    </w:p>
  </w:footnote>
  <w:footnote w:type="continuationSeparator" w:id="0">
    <w:p w14:paraId="67D238DC" w14:textId="77777777" w:rsidR="007A1A6C" w:rsidRDefault="007A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0AEC1B4B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7337919" w14:textId="77777777" w:rsidR="004A39D4" w:rsidRPr="00045915" w:rsidRDefault="00682343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8150A2" wp14:editId="62FF103F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6E1F1FF8" wp14:editId="3B1A5A31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B98513" w14:textId="77777777" w:rsidR="004A39D4" w:rsidRPr="00045915" w:rsidRDefault="00682343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743337AA" w14:textId="77777777" w:rsidR="004A39D4" w:rsidRPr="00045915" w:rsidRDefault="00682343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6BEB6812" w14:textId="77777777" w:rsidR="004A39D4" w:rsidRPr="00045915" w:rsidRDefault="00682343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104695C" w14:textId="77777777" w:rsidR="004A39D4" w:rsidRPr="00045915" w:rsidRDefault="00682343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614ABAC6" w14:textId="77777777" w:rsidR="004A39D4" w:rsidRPr="00045915" w:rsidRDefault="00682343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0AA8186A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1EDFCC2A" w14:textId="77777777" w:rsidR="004A39D4" w:rsidRPr="00E21266" w:rsidRDefault="00682343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6DBD53FA" w14:textId="77777777" w:rsidR="00D1625B" w:rsidRPr="004A39D4" w:rsidRDefault="007A1A6C" w:rsidP="004A39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3"/>
    <w:rsid w:val="00267989"/>
    <w:rsid w:val="00297310"/>
    <w:rsid w:val="0047796D"/>
    <w:rsid w:val="004B3419"/>
    <w:rsid w:val="004C6DD8"/>
    <w:rsid w:val="00575A42"/>
    <w:rsid w:val="00682343"/>
    <w:rsid w:val="006A1996"/>
    <w:rsid w:val="00787859"/>
    <w:rsid w:val="007A1A6C"/>
    <w:rsid w:val="007C52DE"/>
    <w:rsid w:val="008C525F"/>
    <w:rsid w:val="009762EC"/>
    <w:rsid w:val="00A70709"/>
    <w:rsid w:val="00B20C28"/>
    <w:rsid w:val="00BE6086"/>
    <w:rsid w:val="00E05613"/>
    <w:rsid w:val="00E0712E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3D00"/>
  <w15:chartTrackingRefBased/>
  <w15:docId w15:val="{C37F503C-4227-4257-B8C5-415A46CA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34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823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343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82343"/>
  </w:style>
  <w:style w:type="paragraph" w:styleId="Intestazione">
    <w:name w:val="header"/>
    <w:basedOn w:val="Normale"/>
    <w:link w:val="IntestazioneCarattere"/>
    <w:rsid w:val="006823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2343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chitarrari</dc:creator>
  <cp:keywords/>
  <dc:description/>
  <cp:lastModifiedBy>silvia chitarrari</cp:lastModifiedBy>
  <cp:revision>12</cp:revision>
  <dcterms:created xsi:type="dcterms:W3CDTF">2022-05-22T10:48:00Z</dcterms:created>
  <dcterms:modified xsi:type="dcterms:W3CDTF">2022-06-02T09:24:00Z</dcterms:modified>
</cp:coreProperties>
</file>