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DOCENTE: BOTTA CHIARA</w:t>
        <w:tab/>
        <w:t xml:space="preserve"> DISCIPLINA: ITALIANO</w:t>
        <w:tab/>
        <w:tab/>
        <w:t xml:space="preserve">CLASSE: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 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Testo: Labo</w:t>
      </w:r>
      <w:r w:rsidDel="00000000" w:rsidR="00000000" w:rsidRPr="00000000">
        <w:rPr>
          <w:rFonts w:ascii="Arial" w:cs="Arial" w:eastAsia="Arial" w:hAnsi="Arial"/>
          <w:rtl w:val="0"/>
        </w:rPr>
        <w:t xml:space="preserve">ratorio di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etteratura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Vol.1 autori </w:t>
      </w:r>
      <w:r w:rsidDel="00000000" w:rsidR="00000000" w:rsidRPr="00000000">
        <w:rPr>
          <w:rFonts w:ascii="Arial" w:cs="Arial" w:eastAsia="Arial" w:hAnsi="Arial"/>
          <w:rtl w:val="0"/>
        </w:rPr>
        <w:t xml:space="preserve">M. Sambugar, G. Salà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L’organizzazione sociale e politica della società agraria dell’alto medioevo e della società feudale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 generali. Argomento trattato a livello interdisciplinare con storia.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Medioevo latino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 e cultura. Storia della lingua e fenomeni letterari. Mentalità, istituzioni culturali e pubblico: la concezione del sapere; l’allegorismo; gli intellettuali: chierici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giullari.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nascita delle lingue nazionali. I primi documenti della formazione dei volgari romani.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L'età cortese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contesto sociale. L’amor cortese. Le forme della Letteratura: le canzoni di gesta; Il romanzo cortese-cavalleresco; la lirica provenzale.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letteratura religiosa nella civiltà comunale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Chiesa e movimenti ereticali; ordini dei mendicanti.I Francescani e la letteratura.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Francesco d’Assisi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vita ed opere; lettura ed analisi dell'opera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Cantico di Frate sole.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poesia lirica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nell'età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comunale dai Provenzali ai Siculo-toscani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siciliana: contesto storico e sociale.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Iacopo da Lentini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lettura ed analisi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L’amore è un desio che ven da’ 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“Dolce stil novo”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“Dolce stil novo”: le ragioni di questa denominazione e la poetica; i luoghi, il tempo, gli autori.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G. Guinizzelli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lettura ed analisi di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 cor gentil rempaira sempre amore; Io voglio del ver la mia donna laudare.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G. Cavalcanti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lettura ed analisi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Noi siam le triste penne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isbigotite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 che per li occhi mi passaste il cor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poesia comico-parodica  nelle’età comunale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1"/>
        </w:numPr>
        <w:ind w:left="720" w:hanging="36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Cecco Angiolieri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lettura ed analisi di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Tre cose solamente m’enno in grado;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S’i’ fossi foco ardere’ il mondo.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La Vita nova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genesi, contenuti, significati; lettura ed analisi di: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  <w:tab w:val="left" w:pos="11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Tanto gentil e tanto onesta pare la donna.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temi; lettura ed analisi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Guido, I’ vorrei che tu e Lapo ed 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 vulgari eloquentia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genesi, contenuti, significati; visualizzazione concetti.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Monarchia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presupposti dell’opera, struttura e contenuti dell’opera, teoria dei due </w:t>
      </w:r>
      <w:r w:rsidDel="00000000" w:rsidR="00000000" w:rsidRPr="00000000">
        <w:rPr>
          <w:rFonts w:ascii="Arial" w:cs="Arial" w:eastAsia="Arial" w:hAnsi="Arial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 in contrasto c</w:t>
      </w:r>
      <w:r w:rsidDel="00000000" w:rsidR="00000000" w:rsidRPr="00000000">
        <w:rPr>
          <w:rFonts w:ascii="Arial" w:cs="Arial" w:eastAsia="Arial" w:hAnsi="Arial"/>
          <w:rtl w:val="0"/>
        </w:rPr>
        <w:t xml:space="preserve">on quella del Sole e della Luna.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Commedia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genesi, gli antecedenti; i fondamenti filosofici, visione medievale e preumanesimo, allegoria nella commedia, concezione figurale, Il titolo, il plurilinguismo dantesco, la tecnica narrativa, la descrizione dinamica, i racconti di secondo grado: lo scorso e l’ellissi, lo spazio e il tempo, la simmetria. La configurazione fisica e morale dell’oltretomba dantesca.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lettura ed analisi integrale dei seguenti otto  canti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III, V, VI, X, XIII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, XXVI, XXXIII.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vita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Petrarca, il suo pensiero e il suo essere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ova figura di intellettuale.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Canzoniere: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Petrarca e il volgare; la formazione del Canzoniere; Laura; il paesaggio; il dissidio e il suo superamento nella forma; lingua e stile.Lettura ed analisi di: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1"/>
          <w:tab w:val="left" w:pos="14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ch'ascoltate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rime sparse il suono;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1"/>
          <w:tab w:val="left" w:pos="14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Erano i capei d’oro a l’aura sparsi;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1"/>
          <w:tab w:val="left" w:pos="14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 et pensoso i più deserti campi;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1"/>
          <w:tab w:val="left" w:pos="1449"/>
        </w:tabs>
        <w:spacing w:after="0" w:before="0" w:line="240" w:lineRule="auto"/>
        <w:ind w:left="737" w:right="0" w:firstLine="0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Pace non trovo e non ò da far guerra;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1"/>
          <w:tab w:val="left" w:pos="1449"/>
        </w:tabs>
        <w:spacing w:after="0" w:before="0" w:line="240" w:lineRule="auto"/>
        <w:ind w:left="737" w:right="0" w:firstLine="0"/>
        <w:jc w:val="left"/>
        <w:rPr>
          <w:rFonts w:ascii="Liberation Serif" w:cs="Liberation Serif" w:eastAsia="Liberation Serif" w:hAnsi="Liberation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Fiamma dal ciel su le tue trecce piova.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Boccaccio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Vita.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Decameron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struttura e il pubblico,  il Proemio, la cornice, la mercatura e la cortesia cavalleresca, la Fortuna, l’amore, il reale, gli oggetti, il genere, la narrazione, la lingua.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Lettura, parafrasi e commento delle novelle: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1"/>
        </w:tabs>
        <w:spacing w:after="0" w:before="0" w:line="240" w:lineRule="auto"/>
        <w:ind w:left="1134" w:right="0" w:hanging="397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Andreuccio da Perugia;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1"/>
        </w:tabs>
        <w:spacing w:after="0" w:before="0" w:line="240" w:lineRule="auto"/>
        <w:ind w:left="1134" w:right="0" w:hanging="397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Chichibio e la gru;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1"/>
        </w:tabs>
        <w:spacing w:after="0" w:before="0" w:line="240" w:lineRule="auto"/>
        <w:ind w:left="1134" w:right="0" w:hanging="397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Lisabetta da Messina;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1"/>
        </w:tabs>
        <w:spacing w:after="0" w:before="0" w:line="240" w:lineRule="auto"/>
        <w:ind w:left="1134" w:right="0" w:hanging="397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Nastagio degli Onesti;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31"/>
        </w:tabs>
        <w:spacing w:after="0" w:before="0" w:line="240" w:lineRule="auto"/>
        <w:ind w:left="1134" w:right="0" w:hanging="397"/>
        <w:jc w:val="left"/>
        <w:rPr>
          <w:rFonts w:ascii="Arial" w:cs="Arial" w:eastAsia="Arial" w:hAnsi="Arial"/>
          <w:i w:val="1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Calandrino e l'elitropia.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Laboratorio di scrittura.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Esercitazioni scritte varie riguardo a: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temi argomentativi ed espositivi.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analisi e comprensione di testi letterari.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analisi  di testi argomentativi non letterari relativi a temi </w:t>
      </w:r>
      <w:r w:rsidDel="00000000" w:rsidR="00000000" w:rsidRPr="00000000">
        <w:rPr>
          <w:rFonts w:ascii="Arial" w:cs="Arial" w:eastAsia="Arial" w:hAnsi="Arial"/>
          <w:rtl w:val="0"/>
        </w:rPr>
        <w:t xml:space="preserve">d'attualità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tipologia B) – secondo le nuove normative che regolano gli Esami di stato.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Approfondimenti  Ed. Civica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Educazione alla salute: progetto di sensibilizzazione dei giovani all’uso e all’abuso dell’alcol; effetti deleteri sulla guida in stato di ebbrezza; sanzioni sancite dalla legge.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Bergamo, 8 giugno 2022                                                               La docente</w:t>
      </w:r>
    </w:p>
    <w:p w:rsidR="00000000" w:rsidDel="00000000" w:rsidP="00000000" w:rsidRDefault="00000000" w:rsidRPr="00000000" w14:paraId="0000004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studenti</w:t>
      </w:r>
    </w:p>
    <w:p w:rsidR="00000000" w:rsidDel="00000000" w:rsidP="00000000" w:rsidRDefault="00000000" w:rsidRPr="00000000" w14:paraId="0000004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5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85725</wp:posOffset>
          </wp:positionV>
          <wp:extent cx="659765" cy="720090"/>
          <wp:effectExtent b="0" l="0" r="0" t="0"/>
          <wp:wrapSquare wrapText="bothSides" distB="0" distT="0" distL="0" distR="0"/>
          <wp:docPr descr="Logo IIS Mario Rigoni Stern" id="1" name="image2.jpg"/>
          <a:graphic>
            <a:graphicData uri="http://schemas.openxmlformats.org/drawingml/2006/picture">
              <pic:pic>
                <pic:nvPicPr>
                  <pic:cNvPr descr="Logo IIS Mario Rigoni Stern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38.0" w:type="dxa"/>
      <w:jc w:val="left"/>
      <w:tblInd w:w="0.0" w:type="dxa"/>
      <w:tblLayout w:type="fixed"/>
      <w:tblLook w:val="00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56">
          <w:pPr>
            <w:pageBreakBefore w:val="0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308610" cy="351155"/>
                <wp:effectExtent b="0" l="0" r="0" t="0"/>
                <wp:docPr descr="repubblica" id="2" name="image1.png"/>
                <a:graphic>
                  <a:graphicData uri="http://schemas.openxmlformats.org/drawingml/2006/picture">
                    <pic:pic>
                      <pic:nvPicPr>
                        <pic:cNvPr descr="repubblica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pageBreakBefore w:val="0"/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58">
          <w:pPr>
            <w:pageBreakBefore w:val="0"/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59">
          <w:pPr>
            <w:pageBreakBefore w:val="0"/>
            <w:jc w:val="center"/>
            <w:rPr>
              <w:rFonts w:ascii="Verdana" w:cs="Verdana" w:eastAsia="Verdana" w:hAnsi="Verdana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5A">
          <w:pPr>
            <w:pageBreakBefore w:val="0"/>
            <w:jc w:val="center"/>
            <w:rPr/>
          </w:pP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035 220213 - 035 220410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pageBreakBefore w:val="0"/>
            <w:jc w:val="center"/>
            <w:rPr/>
          </w:pPr>
          <w:r w:rsidDel="00000000" w:rsidR="00000000" w:rsidRPr="00000000">
            <w:rPr>
              <w:rFonts w:ascii="Verdana" w:cs="Verdana" w:eastAsia="Verdana" w:hAnsi="Verdana"/>
              <w:color w:val="000000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C">
          <w:pPr>
            <w:pageBreakBefore w:val="0"/>
            <w:jc w:val="center"/>
            <w:rPr>
              <w:rFonts w:ascii="Verdana" w:cs="Verdana" w:eastAsia="Verdana" w:hAnsi="Verdana"/>
              <w:b w:val="1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PROGRAMMA SVOLTO </w:t>
          </w: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20</w:t>
          </w:r>
          <w:r w:rsidDel="00000000" w:rsidR="00000000" w:rsidRPr="00000000">
            <w:rPr>
              <w:rFonts w:ascii="Verdana" w:cs="Verdana" w:eastAsia="Verdana" w:hAnsi="Verdana"/>
              <w:b w:val="1"/>
              <w:rtl w:val="0"/>
            </w:rPr>
            <w:t xml:space="preserve">21</w:t>
          </w:r>
          <w:r w:rsidDel="00000000" w:rsidR="00000000" w:rsidRPr="00000000">
            <w:rPr>
              <w:rFonts w:ascii="Verdana" w:cs="Verdana" w:eastAsia="Verdana" w:hAnsi="Verdana"/>
              <w:b w:val="1"/>
              <w:sz w:val="24"/>
              <w:szCs w:val="24"/>
              <w:rtl w:val="0"/>
            </w:rPr>
            <w:t xml:space="preserve">-2022–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◦"/>
      <w:lvlJc w:val="left"/>
      <w:pPr>
        <w:ind w:left="1080" w:hanging="360"/>
      </w:pPr>
      <w:rPr>
        <w:b w:val="1"/>
      </w:rPr>
    </w:lvl>
    <w:lvl w:ilvl="2">
      <w:start w:val="1"/>
      <w:numFmt w:val="bullet"/>
      <w:lvlText w:val="▪"/>
      <w:lvlJc w:val="left"/>
      <w:pPr>
        <w:ind w:left="1440" w:hanging="360"/>
      </w:pPr>
      <w:rPr>
        <w:b w:val="1"/>
      </w:rPr>
    </w:lvl>
    <w:lvl w:ilvl="3">
      <w:start w:val="1"/>
      <w:numFmt w:val="bullet"/>
      <w:lvlText w:val=""/>
      <w:lvlJc w:val="left"/>
      <w:pPr>
        <w:ind w:left="1800" w:hanging="360"/>
      </w:pPr>
      <w:rPr>
        <w:b w:val="1"/>
      </w:rPr>
    </w:lvl>
    <w:lvl w:ilvl="4">
      <w:start w:val="1"/>
      <w:numFmt w:val="bullet"/>
      <w:lvlText w:val="◦"/>
      <w:lvlJc w:val="left"/>
      <w:pPr>
        <w:ind w:left="2160" w:hanging="360"/>
      </w:pPr>
      <w:rPr>
        <w:b w:val="1"/>
      </w:rPr>
    </w:lvl>
    <w:lvl w:ilvl="5">
      <w:start w:val="1"/>
      <w:numFmt w:val="bullet"/>
      <w:lvlText w:val="▪"/>
      <w:lvlJc w:val="left"/>
      <w:pPr>
        <w:ind w:left="2520" w:hanging="360"/>
      </w:pPr>
      <w:rPr>
        <w:b w:val="1"/>
      </w:rPr>
    </w:lvl>
    <w:lvl w:ilvl="6">
      <w:start w:val="1"/>
      <w:numFmt w:val="bullet"/>
      <w:lvlText w:val=""/>
      <w:lvlJc w:val="left"/>
      <w:pPr>
        <w:ind w:left="2880" w:hanging="360"/>
      </w:pPr>
      <w:rPr>
        <w:b w:val="1"/>
      </w:rPr>
    </w:lvl>
    <w:lvl w:ilvl="7">
      <w:start w:val="1"/>
      <w:numFmt w:val="bullet"/>
      <w:lvlText w:val="◦"/>
      <w:lvlJc w:val="left"/>
      <w:pPr>
        <w:ind w:left="3240" w:hanging="360"/>
      </w:pPr>
      <w:rPr>
        <w:b w:val="1"/>
      </w:rPr>
    </w:lvl>
    <w:lvl w:ilvl="8">
      <w:start w:val="1"/>
      <w:numFmt w:val="bullet"/>
      <w:lvlText w:val="▪"/>
      <w:lvlJc w:val="left"/>
      <w:pPr>
        <w:ind w:left="3600" w:hanging="360"/>
      </w:pPr>
      <w:rPr>
        <w:b w:val="1"/>
      </w:rPr>
    </w:lvl>
  </w:abstractNum>
  <w:abstractNum w:abstractNumId="9">
    <w:lvl w:ilvl="0">
      <w:start w:val="1"/>
      <w:numFmt w:val="bullet"/>
      <w:lvlText w:val=""/>
      <w:lvlJc w:val="left"/>
      <w:pPr>
        <w:ind w:left="1778" w:hanging="360"/>
      </w:pPr>
      <w:rPr>
        <w:b w:val="1"/>
      </w:rPr>
    </w:lvl>
    <w:lvl w:ilvl="1">
      <w:start w:val="1"/>
      <w:numFmt w:val="bullet"/>
      <w:lvlText w:val="◦"/>
      <w:lvlJc w:val="left"/>
      <w:pPr>
        <w:ind w:left="2138" w:hanging="360"/>
      </w:pPr>
      <w:rPr>
        <w:b w:val="1"/>
      </w:rPr>
    </w:lvl>
    <w:lvl w:ilvl="2">
      <w:start w:val="1"/>
      <w:numFmt w:val="bullet"/>
      <w:lvlText w:val="▪"/>
      <w:lvlJc w:val="left"/>
      <w:pPr>
        <w:ind w:left="2498" w:hanging="360"/>
      </w:pPr>
      <w:rPr>
        <w:b w:val="1"/>
      </w:rPr>
    </w:lvl>
    <w:lvl w:ilvl="3">
      <w:start w:val="1"/>
      <w:numFmt w:val="bullet"/>
      <w:lvlText w:val=""/>
      <w:lvlJc w:val="left"/>
      <w:pPr>
        <w:ind w:left="2858" w:hanging="360"/>
      </w:pPr>
      <w:rPr>
        <w:b w:val="1"/>
      </w:rPr>
    </w:lvl>
    <w:lvl w:ilvl="4">
      <w:start w:val="1"/>
      <w:numFmt w:val="bullet"/>
      <w:lvlText w:val="◦"/>
      <w:lvlJc w:val="left"/>
      <w:pPr>
        <w:ind w:left="3218" w:hanging="360"/>
      </w:pPr>
      <w:rPr>
        <w:b w:val="1"/>
      </w:rPr>
    </w:lvl>
    <w:lvl w:ilvl="5">
      <w:start w:val="1"/>
      <w:numFmt w:val="bullet"/>
      <w:lvlText w:val="▪"/>
      <w:lvlJc w:val="left"/>
      <w:pPr>
        <w:ind w:left="3578" w:hanging="360"/>
      </w:pPr>
      <w:rPr>
        <w:b w:val="1"/>
      </w:rPr>
    </w:lvl>
    <w:lvl w:ilvl="6">
      <w:start w:val="1"/>
      <w:numFmt w:val="bullet"/>
      <w:lvlText w:val=""/>
      <w:lvlJc w:val="left"/>
      <w:pPr>
        <w:ind w:left="3938" w:hanging="360"/>
      </w:pPr>
      <w:rPr>
        <w:b w:val="1"/>
      </w:rPr>
    </w:lvl>
    <w:lvl w:ilvl="7">
      <w:start w:val="1"/>
      <w:numFmt w:val="bullet"/>
      <w:lvlText w:val="◦"/>
      <w:lvlJc w:val="left"/>
      <w:pPr>
        <w:ind w:left="4298" w:hanging="360"/>
      </w:pPr>
      <w:rPr>
        <w:b w:val="1"/>
      </w:rPr>
    </w:lvl>
    <w:lvl w:ilvl="8">
      <w:start w:val="1"/>
      <w:numFmt w:val="bullet"/>
      <w:lvlText w:val="▪"/>
      <w:lvlJc w:val="left"/>
      <w:pPr>
        <w:ind w:left="4658" w:hanging="360"/>
      </w:pPr>
      <w:rPr>
        <w:b w:val="1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◦"/>
      <w:lvlJc w:val="left"/>
      <w:pPr>
        <w:ind w:left="1080" w:hanging="360"/>
      </w:pPr>
      <w:rPr>
        <w:b w:val="1"/>
      </w:rPr>
    </w:lvl>
    <w:lvl w:ilvl="2">
      <w:start w:val="1"/>
      <w:numFmt w:val="bullet"/>
      <w:lvlText w:val="▪"/>
      <w:lvlJc w:val="left"/>
      <w:pPr>
        <w:ind w:left="1440" w:hanging="360"/>
      </w:pPr>
      <w:rPr>
        <w:b w:val="1"/>
      </w:rPr>
    </w:lvl>
    <w:lvl w:ilvl="3">
      <w:start w:val="1"/>
      <w:numFmt w:val="bullet"/>
      <w:lvlText w:val=""/>
      <w:lvlJc w:val="left"/>
      <w:pPr>
        <w:ind w:left="1800" w:hanging="360"/>
      </w:pPr>
      <w:rPr>
        <w:b w:val="1"/>
      </w:rPr>
    </w:lvl>
    <w:lvl w:ilvl="4">
      <w:start w:val="1"/>
      <w:numFmt w:val="bullet"/>
      <w:lvlText w:val="◦"/>
      <w:lvlJc w:val="left"/>
      <w:pPr>
        <w:ind w:left="2160" w:hanging="360"/>
      </w:pPr>
      <w:rPr>
        <w:b w:val="1"/>
      </w:rPr>
    </w:lvl>
    <w:lvl w:ilvl="5">
      <w:start w:val="1"/>
      <w:numFmt w:val="bullet"/>
      <w:lvlText w:val="▪"/>
      <w:lvlJc w:val="left"/>
      <w:pPr>
        <w:ind w:left="2520" w:hanging="360"/>
      </w:pPr>
      <w:rPr>
        <w:b w:val="1"/>
      </w:rPr>
    </w:lvl>
    <w:lvl w:ilvl="6">
      <w:start w:val="1"/>
      <w:numFmt w:val="bullet"/>
      <w:lvlText w:val=""/>
      <w:lvlJc w:val="left"/>
      <w:pPr>
        <w:ind w:left="2880" w:hanging="360"/>
      </w:pPr>
      <w:rPr>
        <w:b w:val="1"/>
      </w:rPr>
    </w:lvl>
    <w:lvl w:ilvl="7">
      <w:start w:val="1"/>
      <w:numFmt w:val="bullet"/>
      <w:lvlText w:val="◦"/>
      <w:lvlJc w:val="left"/>
      <w:pPr>
        <w:ind w:left="3240" w:hanging="360"/>
      </w:pPr>
      <w:rPr>
        <w:b w:val="1"/>
      </w:rPr>
    </w:lvl>
    <w:lvl w:ilvl="8">
      <w:start w:val="1"/>
      <w:numFmt w:val="bullet"/>
      <w:lvlText w:val="▪"/>
      <w:lvlJc w:val="left"/>
      <w:pPr>
        <w:ind w:left="3600" w:hanging="360"/>
      </w:pPr>
      <w:rPr>
        <w:b w:val="1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