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D8" w:rsidRDefault="00ED4DC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</w:t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MUFTAH LEILA</w:t>
      </w:r>
      <w:r>
        <w:rPr>
          <w:b/>
          <w:color w:val="000000"/>
          <w:sz w:val="24"/>
          <w:szCs w:val="24"/>
        </w:rPr>
        <w:tab/>
        <w:t xml:space="preserve">DISCIPLINA </w:t>
      </w:r>
      <w:r>
        <w:rPr>
          <w:color w:val="000000"/>
          <w:sz w:val="24"/>
          <w:szCs w:val="24"/>
        </w:rPr>
        <w:t>MATEMATICA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CLASSE </w:t>
      </w:r>
      <w:r w:rsidR="00D22C8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^D</w:t>
      </w:r>
    </w:p>
    <w:p w:rsidR="00AD20D8" w:rsidRDefault="00AD2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20D8" w:rsidRDefault="00AD2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D20D8" w:rsidRDefault="00ED4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PROGRAMMA ED ARGOMENTI TRATTATI</w:t>
      </w:r>
    </w:p>
    <w:p w:rsidR="00AD20D8" w:rsidRDefault="00AD2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D22C8B" w:rsidRPr="00D22C8B" w:rsidRDefault="00D22C8B" w:rsidP="00D22C8B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position w:val="0"/>
          <w:sz w:val="24"/>
          <w:szCs w:val="24"/>
        </w:rPr>
        <w:br/>
      </w: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>FRAZIONI ALGEBRICHE</w:t>
      </w:r>
      <w:r w:rsidRPr="00D22C8B">
        <w:rPr>
          <w:color w:val="000000"/>
          <w:position w:val="0"/>
          <w:sz w:val="24"/>
          <w:szCs w:val="24"/>
        </w:rPr>
        <w:t>. Operazioni con le frazioni algebriche</w:t>
      </w:r>
    </w:p>
    <w:p w:rsidR="00D22C8B" w:rsidRP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>EQUAZIONI DI PRIMO GRADO FRAZIONARIE E LETTERALI</w:t>
      </w:r>
      <w:r w:rsidRPr="00D22C8B">
        <w:rPr>
          <w:color w:val="000000"/>
          <w:position w:val="0"/>
          <w:sz w:val="24"/>
          <w:szCs w:val="24"/>
        </w:rPr>
        <w:t>. Equazioni di primo grado frazionarie: dominio e risoluzione, equazioni letterali intere e frazionarie con parametri al numeratore e relativa discussione.</w:t>
      </w:r>
    </w:p>
    <w:p w:rsidR="00D22C8B" w:rsidRP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>DISEQUAZIONI DI PRIMO GRADO</w:t>
      </w:r>
      <w:r w:rsidRPr="00D22C8B">
        <w:rPr>
          <w:color w:val="000000"/>
          <w:position w:val="0"/>
          <w:sz w:val="24"/>
          <w:szCs w:val="24"/>
        </w:rPr>
        <w:t>. Disequazioni intere e frazionarie di primo grado in una incognita, disequazioni risolvibili mediante semplici scomposizion</w:t>
      </w:r>
      <w:r w:rsidR="00E11C61">
        <w:rPr>
          <w:color w:val="000000"/>
          <w:position w:val="0"/>
          <w:sz w:val="24"/>
          <w:szCs w:val="24"/>
        </w:rPr>
        <w:t xml:space="preserve">i </w:t>
      </w:r>
      <w:r w:rsidRPr="00D22C8B">
        <w:rPr>
          <w:color w:val="000000"/>
          <w:position w:val="0"/>
          <w:sz w:val="24"/>
          <w:szCs w:val="24"/>
        </w:rPr>
        <w:t>in fattori, sistemi di disequazioni di primo grado in una incognita.</w:t>
      </w:r>
    </w:p>
    <w:p w:rsidR="00D22C8B" w:rsidRP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>REALI.</w:t>
      </w:r>
      <w:r w:rsidRPr="00D22C8B">
        <w:rPr>
          <w:color w:val="000000"/>
          <w:position w:val="0"/>
          <w:sz w:val="24"/>
          <w:szCs w:val="24"/>
        </w:rPr>
        <w:t xml:space="preserve"> Radici quadrate, cubiche, n-esime ed insieme di esistenza, la proprietà invariantiva e la riduzione allo stesso indice e la semplificazione, operazioni con i radicali, trasporto dentro e fuori dal segno di radice, semplici razionalizzazioni.</w:t>
      </w:r>
    </w:p>
    <w:p w:rsidR="00D22C8B" w:rsidRP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 xml:space="preserve">EQUAZIONI DI SECONDO GRADO. </w:t>
      </w:r>
      <w:r w:rsidRPr="00D22C8B">
        <w:rPr>
          <w:color w:val="000000"/>
          <w:position w:val="0"/>
          <w:sz w:val="24"/>
          <w:szCs w:val="24"/>
        </w:rPr>
        <w:t>Equazioni di secondo grado incomplete e complete, equazioni di secondo grado intere.</w:t>
      </w:r>
    </w:p>
    <w:p w:rsidR="00D22C8B" w:rsidRP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22C8B" w:rsidRPr="00D22C8B" w:rsidRDefault="00D22C8B" w:rsidP="00D22C8B">
      <w:pPr>
        <w:suppressAutoHyphens w:val="0"/>
        <w:spacing w:line="240" w:lineRule="auto"/>
        <w:ind w:leftChars="0" w:left="-2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D22C8B">
        <w:rPr>
          <w:b/>
          <w:bCs/>
          <w:color w:val="000000"/>
          <w:position w:val="0"/>
          <w:sz w:val="24"/>
          <w:szCs w:val="24"/>
        </w:rPr>
        <w:t>RETTE NEL PIANO CARTESIANO.</w:t>
      </w:r>
      <w:r w:rsidRPr="00D22C8B">
        <w:rPr>
          <w:color w:val="000000"/>
          <w:position w:val="0"/>
          <w:sz w:val="24"/>
          <w:szCs w:val="24"/>
        </w:rPr>
        <w:t xml:space="preserve"> Distanza tra due punti, punto medio di un segmento, l’equazione della retta nel piano cartesiano, posizione reciproca di due rette, come determinare l’equazione di una retta.</w:t>
      </w:r>
    </w:p>
    <w:p w:rsidR="00D22C8B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 xml:space="preserve">RETTE NEL PIANO CARTESIANO. </w:t>
      </w:r>
      <w:r w:rsidRPr="00D041C4">
        <w:rPr>
          <w:bCs/>
          <w:color w:val="000000"/>
          <w:position w:val="0"/>
          <w:sz w:val="24"/>
          <w:szCs w:val="24"/>
        </w:rPr>
        <w:t>Il piano cartesiano, distanza tra due punti e punto medio di un segmento, la funzione lineare e l’equazione di una retta nel piano cartesiano, posizione reciproca di due rette e rappresentazione grafica, come determinare l’equazione di una retta, distanza punto-retta, semplici problemi che hanno modelli lineari.</w:t>
      </w: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>SISTEMI LINEARI.</w:t>
      </w:r>
      <w:r w:rsidRPr="00D041C4">
        <w:rPr>
          <w:bCs/>
          <w:color w:val="000000"/>
          <w:position w:val="0"/>
          <w:sz w:val="24"/>
          <w:szCs w:val="24"/>
        </w:rPr>
        <w:t xml:space="preserve">      Risoluzione algebrica di sistemi di equazioni</w:t>
      </w:r>
      <w:r w:rsidRPr="00D041C4">
        <w:rPr>
          <w:b/>
          <w:bCs/>
          <w:color w:val="000000"/>
          <w:position w:val="0"/>
          <w:sz w:val="24"/>
          <w:szCs w:val="24"/>
        </w:rPr>
        <w:t xml:space="preserve"> </w:t>
      </w:r>
      <w:r w:rsidRPr="00D041C4">
        <w:rPr>
          <w:bCs/>
          <w:color w:val="000000"/>
          <w:position w:val="0"/>
          <w:sz w:val="24"/>
          <w:szCs w:val="24"/>
        </w:rPr>
        <w:t>di primo grado: metodo di sostituzione, confronto, addizione e sottrazione.</w:t>
      </w: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>EQUAZIONI DI SECONDO GRADO</w:t>
      </w:r>
      <w:r w:rsidRPr="00D041C4">
        <w:rPr>
          <w:bCs/>
          <w:color w:val="000000"/>
          <w:position w:val="0"/>
          <w:sz w:val="24"/>
          <w:szCs w:val="24"/>
        </w:rPr>
        <w:t>. Equazioni di secondo grado incomplete e complete, equazioni di secondo grado intere e frazionari.</w:t>
      </w: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>CIRCONFERENZA</w:t>
      </w:r>
      <w:r w:rsidRPr="00D041C4">
        <w:rPr>
          <w:bCs/>
          <w:color w:val="000000"/>
          <w:position w:val="0"/>
          <w:sz w:val="24"/>
          <w:szCs w:val="24"/>
        </w:rPr>
        <w:t>. Luoghi geometrici, circonferenza e cerchio, proprietà delle corde, posizione reciproca di retta e circonferenza e di due circonferenze, angoli al centro e angoli alla circonferenza, problema delle tangenti.</w:t>
      </w: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lastRenderedPageBreak/>
        <w:t>POLIGONI INSCRITTI E CIRCOSCRITTI</w:t>
      </w:r>
      <w:r w:rsidRPr="00D041C4">
        <w:rPr>
          <w:bCs/>
          <w:color w:val="000000"/>
          <w:position w:val="0"/>
          <w:sz w:val="24"/>
          <w:szCs w:val="24"/>
        </w:rPr>
        <w:t>. Poligoni inscritti e circoscritti, quadrilateri inscritti e circoscritti, triangoli inscritti e punti notevoli.</w:t>
      </w: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 xml:space="preserve">AREA. </w:t>
      </w:r>
      <w:r w:rsidRPr="00D041C4">
        <w:rPr>
          <w:bCs/>
          <w:color w:val="000000"/>
          <w:position w:val="0"/>
          <w:sz w:val="24"/>
          <w:szCs w:val="24"/>
        </w:rPr>
        <w:t xml:space="preserve">Equivalenza ed </w:t>
      </w:r>
      <w:proofErr w:type="spellStart"/>
      <w:r w:rsidRPr="00D041C4">
        <w:rPr>
          <w:bCs/>
          <w:color w:val="000000"/>
          <w:position w:val="0"/>
          <w:sz w:val="24"/>
          <w:szCs w:val="24"/>
        </w:rPr>
        <w:t>equiscomponibilità</w:t>
      </w:r>
      <w:proofErr w:type="spellEnd"/>
      <w:r w:rsidRPr="00D041C4">
        <w:rPr>
          <w:bCs/>
          <w:color w:val="000000"/>
          <w:position w:val="0"/>
          <w:sz w:val="24"/>
          <w:szCs w:val="24"/>
        </w:rPr>
        <w:t>, teoremi di equivalenza, aree di poligoni, lunghezza della circonferenza e del cerchio.</w:t>
      </w: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bookmarkStart w:id="0" w:name="_GoBack"/>
      <w:bookmarkEnd w:id="0"/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>TEOREMA DI PITAGORA</w:t>
      </w:r>
      <w:r w:rsidRPr="00D041C4">
        <w:rPr>
          <w:bCs/>
          <w:color w:val="000000"/>
          <w:position w:val="0"/>
          <w:sz w:val="24"/>
          <w:szCs w:val="24"/>
        </w:rPr>
        <w:t>. Teorema di Pitagora, applicazioni del teorema di Pitagora</w:t>
      </w:r>
      <w:r>
        <w:rPr>
          <w:bCs/>
          <w:color w:val="000000"/>
          <w:position w:val="0"/>
          <w:sz w:val="24"/>
          <w:szCs w:val="24"/>
        </w:rPr>
        <w:t>.</w:t>
      </w:r>
    </w:p>
    <w:p w:rsid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</w:p>
    <w:p w:rsidR="00D041C4" w:rsidRPr="00D041C4" w:rsidRDefault="00D041C4" w:rsidP="00D041C4">
      <w:pPr>
        <w:ind w:left="0" w:hanging="2"/>
        <w:rPr>
          <w:bCs/>
          <w:color w:val="000000"/>
          <w:position w:val="0"/>
          <w:sz w:val="24"/>
          <w:szCs w:val="24"/>
        </w:rPr>
      </w:pPr>
      <w:r w:rsidRPr="00D041C4">
        <w:rPr>
          <w:b/>
          <w:bCs/>
          <w:color w:val="000000"/>
          <w:position w:val="0"/>
          <w:sz w:val="24"/>
          <w:szCs w:val="24"/>
        </w:rPr>
        <w:t>TEOREMA DI TALETE</w:t>
      </w:r>
      <w:r>
        <w:rPr>
          <w:bCs/>
          <w:color w:val="000000"/>
          <w:position w:val="0"/>
          <w:sz w:val="24"/>
          <w:szCs w:val="24"/>
        </w:rPr>
        <w:t>. Cenni</w:t>
      </w:r>
    </w:p>
    <w:p w:rsidR="00E11C61" w:rsidRPr="00D041C4" w:rsidRDefault="00E11C61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4"/>
          <w:szCs w:val="24"/>
        </w:rPr>
      </w:pPr>
    </w:p>
    <w:p w:rsidR="00E11C61" w:rsidRPr="00D041C4" w:rsidRDefault="00E11C61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color w:val="000000"/>
          <w:position w:val="0"/>
          <w:sz w:val="24"/>
          <w:szCs w:val="24"/>
        </w:rPr>
      </w:pPr>
    </w:p>
    <w:p w:rsidR="00D22C8B" w:rsidRPr="00D041C4" w:rsidRDefault="00D22C8B" w:rsidP="00D22C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Cs/>
          <w:color w:val="000000"/>
          <w:position w:val="0"/>
          <w:sz w:val="24"/>
          <w:szCs w:val="24"/>
        </w:rPr>
      </w:pPr>
    </w:p>
    <w:p w:rsidR="00D22C8B" w:rsidRPr="00D041C4" w:rsidRDefault="00D22C8B" w:rsidP="00D22C8B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Cs/>
          <w:color w:val="000000"/>
          <w:position w:val="0"/>
          <w:sz w:val="24"/>
          <w:szCs w:val="24"/>
        </w:rPr>
      </w:pPr>
      <w:r w:rsidRPr="00D041C4">
        <w:rPr>
          <w:bCs/>
          <w:color w:val="000000"/>
          <w:position w:val="0"/>
          <w:sz w:val="24"/>
          <w:szCs w:val="24"/>
        </w:rPr>
        <w:t xml:space="preserve">Bergamo, </w:t>
      </w:r>
      <w:r w:rsidR="00F16812" w:rsidRPr="00D041C4">
        <w:rPr>
          <w:bCs/>
          <w:color w:val="000000"/>
          <w:position w:val="0"/>
          <w:sz w:val="24"/>
          <w:szCs w:val="24"/>
        </w:rPr>
        <w:t>30 maggio</w:t>
      </w:r>
      <w:r w:rsidRPr="00D041C4">
        <w:rPr>
          <w:bCs/>
          <w:color w:val="000000"/>
          <w:position w:val="0"/>
          <w:sz w:val="24"/>
          <w:szCs w:val="24"/>
        </w:rPr>
        <w:t xml:space="preserve"> 202</w:t>
      </w:r>
      <w:r w:rsidR="00E11C61" w:rsidRPr="00D041C4">
        <w:rPr>
          <w:bCs/>
          <w:color w:val="000000"/>
          <w:position w:val="0"/>
          <w:sz w:val="24"/>
          <w:szCs w:val="24"/>
        </w:rPr>
        <w:t>3</w:t>
      </w:r>
    </w:p>
    <w:p w:rsidR="00AD20D8" w:rsidRPr="00D041C4" w:rsidRDefault="00AD2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position w:val="0"/>
          <w:sz w:val="24"/>
          <w:szCs w:val="24"/>
        </w:rPr>
      </w:pPr>
    </w:p>
    <w:p w:rsidR="00AD20D8" w:rsidRPr="00D041C4" w:rsidRDefault="00AD20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position w:val="0"/>
          <w:sz w:val="24"/>
          <w:szCs w:val="24"/>
        </w:rPr>
      </w:pPr>
    </w:p>
    <w:sectPr w:rsidR="00AD20D8" w:rsidRPr="00D041C4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0B" w:rsidRDefault="003C700B">
      <w:pPr>
        <w:spacing w:line="240" w:lineRule="auto"/>
        <w:ind w:left="0" w:hanging="2"/>
      </w:pPr>
      <w:r>
        <w:separator/>
      </w:r>
    </w:p>
  </w:endnote>
  <w:endnote w:type="continuationSeparator" w:id="0">
    <w:p w:rsidR="003C700B" w:rsidRDefault="003C70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D8" w:rsidRDefault="00ED4D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20D8" w:rsidRDefault="00AD2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D8" w:rsidRDefault="00ED4D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22C8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D22C8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AD20D8" w:rsidRDefault="00AD2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AD20D8" w:rsidRDefault="00AD2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AD20D8" w:rsidRDefault="00AD2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0B" w:rsidRDefault="003C700B">
      <w:pPr>
        <w:spacing w:line="240" w:lineRule="auto"/>
        <w:ind w:left="0" w:hanging="2"/>
      </w:pPr>
      <w:r>
        <w:separator/>
      </w:r>
    </w:p>
  </w:footnote>
  <w:footnote w:type="continuationSeparator" w:id="0">
    <w:p w:rsidR="003C700B" w:rsidRDefault="003C70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0D8" w:rsidRDefault="00AD20D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4"/>
        <w:szCs w:val="24"/>
      </w:rPr>
    </w:pPr>
  </w:p>
  <w:tbl>
    <w:tblPr>
      <w:tblStyle w:val="a0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AD20D8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D20D8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AD20D8" w:rsidRDefault="00ED4D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AD20D8" w:rsidRDefault="00AD20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D8"/>
    <w:rsid w:val="003B5A9E"/>
    <w:rsid w:val="003C700B"/>
    <w:rsid w:val="00AD20D8"/>
    <w:rsid w:val="00D041C4"/>
    <w:rsid w:val="00D22C8B"/>
    <w:rsid w:val="00E11C61"/>
    <w:rsid w:val="00ED4DC9"/>
    <w:rsid w:val="00F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62E6"/>
  <w15:docId w15:val="{B2E585DC-6581-4FAB-9E5F-AEE37A9C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C8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vUVotMXue6E7McaIDFzNuSWzA==">AMUW2mWwbRRUVo8TY/KkgZZSK8fRvf+CqnSl9bVqsqF9T3DxbVsURwGlhbh1yKZWPFK5x+7ka5tvbue7JJlJuEDJ7Ou9xsE273EQaVxwjNMpnuj8T+EmorijQ5YxTSyzyjlyURX60WQA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"Mario Rigoni Stern"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Microsoft Office User</cp:lastModifiedBy>
  <cp:revision>6</cp:revision>
  <dcterms:created xsi:type="dcterms:W3CDTF">2020-05-22T13:31:00Z</dcterms:created>
  <dcterms:modified xsi:type="dcterms:W3CDTF">2023-05-30T07:31:00Z</dcterms:modified>
</cp:coreProperties>
</file>