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 xml:space="preserve">DOCENTE CURRICOLARE </w:t>
      </w:r>
      <w:r>
        <w:rPr>
          <w:rFonts w:ascii="Verdana" w:hAnsi="Verdana"/>
          <w:b w:val="false"/>
          <w:bCs w:val="false"/>
          <w:i/>
          <w:iCs/>
          <w:u w:val="none"/>
        </w:rPr>
        <w:t>Anna D’Amico</w:t>
      </w:r>
      <w:r>
        <w:rPr>
          <w:rFonts w:ascii="Verdana" w:hAnsi="Verdana"/>
          <w:b/>
        </w:rPr>
        <w:t xml:space="preserve">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 xml:space="preserve">ITP </w:t>
      </w:r>
      <w:r>
        <w:rPr>
          <w:rFonts w:ascii="Verdana" w:hAnsi="Verdana"/>
          <w:b w:val="false"/>
          <w:bCs w:val="false"/>
          <w:i/>
          <w:iCs/>
        </w:rPr>
        <w:t>Rocco Buffone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 xml:space="preserve">MATERIA </w:t>
      </w:r>
      <w:r>
        <w:rPr>
          <w:rFonts w:ascii="Verdana" w:hAnsi="Verdana"/>
          <w:b w:val="false"/>
          <w:bCs w:val="false"/>
          <w:i/>
          <w:iCs/>
        </w:rPr>
        <w:t>Microbiologia applicata alla gestione e risanamento ambientale</w:t>
      </w:r>
    </w:p>
    <w:p>
      <w:pPr>
        <w:pStyle w:val="Normal"/>
        <w:rPr>
          <w:rFonts w:ascii="Verdana" w:hAnsi="Verdana" w:cs="Arial"/>
          <w:b/>
          <w:u w:val="none"/>
        </w:rPr>
      </w:pPr>
      <w:r>
        <w:rPr>
          <w:rFonts w:cs="Arial" w:ascii="Verdana" w:hAnsi="Verdana"/>
          <w:b/>
          <w:u w:val="none"/>
        </w:rPr>
        <w:t xml:space="preserve">CLASSE    </w:t>
      </w:r>
      <w:r>
        <w:rPr>
          <w:rFonts w:cs="Arial" w:ascii="Verdana" w:hAnsi="Verdana"/>
          <w:b w:val="false"/>
          <w:bCs w:val="false"/>
          <w:i/>
          <w:iCs/>
          <w:u w:val="none"/>
        </w:rPr>
        <w:t>3^Ag</w:t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</w:r>
    </w:p>
    <w:p>
      <w:pPr>
        <w:pStyle w:val="Normal"/>
        <w:jc w:val="center"/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b/>
          <w:sz w:val="22"/>
          <w:szCs w:val="22"/>
          <w:u w:val="single"/>
        </w:rPr>
        <w:t>PROGRAMMA ED ARGOMENTI TRATTATI</w:t>
      </w:r>
    </w:p>
    <w:p>
      <w:pPr>
        <w:pStyle w:val="Normal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</w:r>
    </w:p>
    <w:p>
      <w:pPr>
        <w:pStyle w:val="Normal"/>
        <w:rPr>
          <w:rFonts w:ascii="Verdana" w:hAnsi="Verdana" w:cs="Arial"/>
          <w:b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cs="Arial" w:ascii="Verdana" w:hAnsi="Verdana"/>
          <w:b/>
          <w:sz w:val="24"/>
          <w:szCs w:val="24"/>
        </w:rPr>
        <w:t>Modulo di Educazione civica: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  <w:t>Che cos’è la microbiologia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La varierà del mondo microbico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I microrganismi e il loro habitat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I microrganismi e l’uomo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Uno sguardo storico sulla disciplina: R. Hooke, Pasteur, R. Koch, Jenner e la prima vaccinazione, Fleming e la scoperta della penicillina.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Campi d’indagine della moderna microbiologia.</w:t>
      </w:r>
    </w:p>
    <w:p>
      <w:pPr>
        <w:pStyle w:val="Normal"/>
        <w:rPr>
          <w:rFonts w:ascii="Verdana" w:hAnsi="Verdana" w:cs="Arial"/>
          <w:b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  <w:t>La cellula procariotica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Dimensione, forma e aggregazione dei batteri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La struttura generale delle cellule procariotiche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La membrana cellulare dei procarioti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Funzione e struttura della parete cellulare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Batteri Gram positivi e batteri Gram negativi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Le strutture esterne alla parete cellulare (glicocalice, capsula o strato mucoso; strato S; flagelli; pili; filamenti assiali)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Il citoplasma, il cromosoma batterico e i plasmidi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Inclusioni citoplasmatiche (i tilacoidi, granuli polisaccaridici di riserva)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Caratteristiche e funzioni delle spore batteriche.</w:t>
      </w:r>
    </w:p>
    <w:p>
      <w:pPr>
        <w:pStyle w:val="Normal"/>
        <w:rPr>
          <w:rFonts w:ascii="Verdana" w:hAnsi="Verdana" w:cs="Arial"/>
          <w:b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  <w:t>La divisione cellulare negli eucarioti e nei procarioti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Riproduzione asessuata e sessuata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Scissione binaria e gemmazione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Le fasi del ciclo cellulare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Mitosi e citodieresi (animale e vegetale)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La meiosi: la riduzione del corredo cromosomico e il riassortimento del materiale genetico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Meiosi, mitosi: confronto.</w:t>
      </w:r>
    </w:p>
    <w:p>
      <w:pPr>
        <w:pStyle w:val="Normal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  <w:t>La crescita microbica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La crescita batterica e la formazione di colonie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Le esigenze nutrizionali delle cellule microbiche (micronutrienti e macronutrienti, attività dell’acqua)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I parametri ambientali condizionano la crescita microbica (umidità, pressione osmotica, ossigeno, pH, temperatura)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La curva di crescita batterica.</w:t>
      </w:r>
    </w:p>
    <w:p>
      <w:pPr>
        <w:pStyle w:val="ListParagraph"/>
        <w:ind w:left="720" w:hanging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</w:p>
    <w:p>
      <w:pPr>
        <w:pStyle w:val="ListParagraph"/>
        <w:ind w:hanging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Il controllo della crescita microbica</w:t>
      </w:r>
    </w:p>
    <w:p>
      <w:pPr>
        <w:pStyle w:val="ListParagraph"/>
        <w:widowControl/>
        <w:suppressAutoHyphens w:val="true"/>
        <w:bidi w:val="0"/>
        <w:spacing w:before="0" w:after="0"/>
        <w:ind w:left="397" w:right="0" w:hanging="0"/>
        <w:contextualSpacing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Concetti di: sterilizzazione, sanitizzazione, sterilizzazione, microbicida, microbiostatico</w:t>
      </w:r>
    </w:p>
    <w:p>
      <w:pPr>
        <w:pStyle w:val="ListParagraph"/>
        <w:widowControl/>
        <w:suppressAutoHyphens w:val="true"/>
        <w:bidi w:val="0"/>
        <w:spacing w:before="0" w:after="0"/>
        <w:ind w:left="397" w:right="0" w:hanging="0"/>
        <w:contextualSpacing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Agenti fisici e crescita microbica: alte e basse temperature, filtrazione, essiccazione, pressione osmotica, radiazioni,</w:t>
      </w:r>
    </w:p>
    <w:p>
      <w:pPr>
        <w:pStyle w:val="ListParagraph"/>
        <w:widowControl/>
        <w:suppressAutoHyphens w:val="true"/>
        <w:bidi w:val="0"/>
        <w:spacing w:before="0" w:after="0"/>
        <w:ind w:left="397" w:right="0" w:hanging="0"/>
        <w:contextualSpacing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Agenti chimici antimicrobici: disinfettanti (alogeni come iodio e cloro, gli alcoli, i metalli pesanti, tensioattivi e surfattanti) </w:t>
      </w:r>
    </w:p>
    <w:p>
      <w:pPr>
        <w:pStyle w:val="ListParagraph"/>
        <w:widowControl/>
        <w:suppressAutoHyphens w:val="true"/>
        <w:bidi w:val="0"/>
        <w:spacing w:before="0" w:after="0"/>
        <w:ind w:left="397" w:right="0" w:hanging="0"/>
        <w:contextualSpacing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Farmaci antimicrobici: chemioterapici e antibiotici (solo definizioni).</w:t>
      </w:r>
    </w:p>
    <w:p>
      <w:pPr>
        <w:pStyle w:val="ListParagraph"/>
        <w:ind w:left="720" w:hang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ListParagraph"/>
        <w:ind w:hanging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L’attività patogena dei microrganismi</w:t>
      </w:r>
    </w:p>
    <w:p>
      <w:pPr>
        <w:pStyle w:val="ListParagraph"/>
        <w:widowControl/>
        <w:suppressAutoHyphens w:val="true"/>
        <w:bidi w:val="0"/>
        <w:spacing w:before="0" w:after="0"/>
        <w:ind w:left="397" w:right="0" w:hanging="0"/>
        <w:contextualSpacing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Flora microbica normale e relazioni con l’ospite</w:t>
      </w:r>
    </w:p>
    <w:p>
      <w:pPr>
        <w:pStyle w:val="ListParagraph"/>
        <w:widowControl/>
        <w:suppressAutoHyphens w:val="true"/>
        <w:bidi w:val="0"/>
        <w:spacing w:before="0" w:after="0"/>
        <w:ind w:left="397" w:right="0" w:hanging="0"/>
        <w:contextualSpacing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Distinzione tra malattie infettive e non infettive, croniche e degenerative</w:t>
      </w:r>
    </w:p>
    <w:p>
      <w:pPr>
        <w:pStyle w:val="ListParagraph"/>
        <w:widowControl/>
        <w:suppressAutoHyphens w:val="true"/>
        <w:bidi w:val="0"/>
        <w:spacing w:before="0" w:after="0"/>
        <w:ind w:left="397" w:right="0" w:hanging="0"/>
        <w:contextualSpacing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Eziologia delle malattie infettive e postulati di Koch</w:t>
      </w:r>
    </w:p>
    <w:p>
      <w:pPr>
        <w:pStyle w:val="ListParagraph"/>
        <w:widowControl/>
        <w:suppressAutoHyphens w:val="true"/>
        <w:bidi w:val="0"/>
        <w:spacing w:before="0" w:after="0"/>
        <w:ind w:left="397" w:right="0" w:hanging="0"/>
        <w:contextualSpacing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Malattie infettive trasmissibili e non</w:t>
      </w:r>
    </w:p>
    <w:p>
      <w:pPr>
        <w:pStyle w:val="ListParagraph"/>
        <w:widowControl/>
        <w:suppressAutoHyphens w:val="true"/>
        <w:bidi w:val="0"/>
        <w:spacing w:before="0" w:after="0"/>
        <w:ind w:left="397" w:right="0" w:hanging="0"/>
        <w:contextualSpacing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Epidemiologia: frequenza, gravità, durata e diffusione</w:t>
      </w:r>
    </w:p>
    <w:p>
      <w:pPr>
        <w:pStyle w:val="ListParagraph"/>
        <w:widowControl/>
        <w:suppressAutoHyphens w:val="true"/>
        <w:bidi w:val="0"/>
        <w:spacing w:before="0" w:after="0"/>
        <w:ind w:left="397" w:right="0" w:hanging="0"/>
        <w:contextualSpacing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Patogenesi delle malattie infettive: periodo di incubazione, periodo prodromico, malattia conclamata, declino e convalescenza</w:t>
      </w:r>
    </w:p>
    <w:p>
      <w:pPr>
        <w:pStyle w:val="ListParagraph"/>
        <w:widowControl/>
        <w:suppressAutoHyphens w:val="true"/>
        <w:bidi w:val="0"/>
        <w:spacing w:before="0" w:after="0"/>
        <w:ind w:left="397" w:right="0" w:hanging="0"/>
        <w:contextualSpacing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La trasmissione delle infezioni: via verticale e via orizzontale, concetto di portatore e serbatoio di infezione, contagio diretto ed indiretto, veicoli e vettori</w:t>
      </w:r>
    </w:p>
    <w:p>
      <w:pPr>
        <w:pStyle w:val="ListParagraph"/>
        <w:widowControl/>
        <w:suppressAutoHyphens w:val="true"/>
        <w:bidi w:val="0"/>
        <w:spacing w:before="0" w:after="0"/>
        <w:ind w:left="397" w:right="0" w:hanging="0"/>
        <w:contextualSpacing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Le vie d’ingresso nell’ospite</w:t>
      </w:r>
    </w:p>
    <w:p>
      <w:pPr>
        <w:pStyle w:val="ListParagraph"/>
        <w:widowControl/>
        <w:suppressAutoHyphens w:val="true"/>
        <w:bidi w:val="0"/>
        <w:spacing w:before="0" w:after="0"/>
        <w:ind w:left="397" w:right="0" w:hanging="0"/>
        <w:contextualSpacing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La dinamica del processo infettivo: contaminazione, penetrazione del microrganismo, infezione conclamata</w:t>
      </w:r>
    </w:p>
    <w:p>
      <w:pPr>
        <w:pStyle w:val="ListParagraph"/>
        <w:widowControl/>
        <w:suppressAutoHyphens w:val="true"/>
        <w:bidi w:val="0"/>
        <w:spacing w:before="0" w:after="0"/>
        <w:ind w:left="397" w:right="0" w:hanging="0"/>
        <w:contextualSpacing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Concetto di carica microbica infettante (LD</w:t>
      </w:r>
      <w:r>
        <w:rPr>
          <w:rFonts w:ascii="Verdana" w:hAnsi="Verdana"/>
          <w:sz w:val="22"/>
          <w:szCs w:val="22"/>
          <w:vertAlign w:val="subscript"/>
        </w:rPr>
        <w:t>50</w:t>
      </w:r>
      <w:r>
        <w:rPr>
          <w:rFonts w:ascii="Verdana" w:hAnsi="Verdana"/>
          <w:sz w:val="22"/>
          <w:szCs w:val="22"/>
        </w:rPr>
        <w:t>)</w:t>
      </w:r>
    </w:p>
    <w:p>
      <w:pPr>
        <w:pStyle w:val="ListParagraph"/>
        <w:widowControl/>
        <w:suppressAutoHyphens w:val="true"/>
        <w:bidi w:val="0"/>
        <w:spacing w:before="0" w:after="0"/>
        <w:ind w:left="397" w:right="0" w:hanging="0"/>
        <w:contextualSpacing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Fattori di virulenza dei microrganismi:</w:t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before="0" w:after="0"/>
        <w:ind w:left="737" w:right="0" w:hanging="0"/>
        <w:contextualSpacing/>
        <w:jc w:val="left"/>
        <w:rPr/>
      </w:pPr>
      <w:r>
        <w:rPr>
          <w:rFonts w:ascii="Verdana" w:hAnsi="Verdana"/>
          <w:sz w:val="22"/>
          <w:szCs w:val="22"/>
        </w:rPr>
        <w:t>invasività (adesività, capacità di inibire il sistema immunitario dell’ospite, siderofori)</w:t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before="0" w:after="0"/>
        <w:ind w:left="737" w:right="0" w:hanging="0"/>
        <w:contextualSpacing/>
        <w:jc w:val="left"/>
        <w:rPr/>
      </w:pPr>
      <w:r>
        <w:rPr>
          <w:rFonts w:ascii="Verdana" w:hAnsi="Verdana"/>
          <w:sz w:val="22"/>
          <w:szCs w:val="22"/>
        </w:rPr>
        <w:t>produzione di tossine (esotossine di tipo I, di tipo II, di tipo III; endotossine).</w:t>
      </w:r>
    </w:p>
    <w:p>
      <w:pPr>
        <w:pStyle w:val="ListParagrap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ListParagraph"/>
        <w:ind w:hanging="0"/>
        <w:rPr>
          <w:b/>
          <w:bCs/>
        </w:rPr>
      </w:pPr>
      <w:r>
        <w:rPr>
          <w:rFonts w:ascii="Verdana" w:hAnsi="Verdana"/>
          <w:b/>
          <w:bCs/>
          <w:sz w:val="22"/>
          <w:szCs w:val="22"/>
        </w:rPr>
        <w:t>Il metabolismo microbico</w:t>
      </w:r>
    </w:p>
    <w:p>
      <w:pPr>
        <w:pStyle w:val="ListParagraph"/>
        <w:widowControl/>
        <w:suppressAutoHyphens w:val="true"/>
        <w:bidi w:val="0"/>
        <w:spacing w:before="0" w:after="0"/>
        <w:ind w:left="397" w:right="0" w:hanging="0"/>
        <w:contextualSpacing/>
        <w:jc w:val="left"/>
        <w:rPr/>
      </w:pPr>
      <w:r>
        <w:rPr>
          <w:rFonts w:ascii="Verdana" w:hAnsi="Verdana"/>
          <w:sz w:val="22"/>
          <w:szCs w:val="22"/>
        </w:rPr>
        <w:t>- Gli scambi di energia e materia tra organismi e ambiente</w:t>
      </w:r>
    </w:p>
    <w:p>
      <w:pPr>
        <w:pStyle w:val="ListParagraph"/>
        <w:widowControl/>
        <w:suppressAutoHyphens w:val="true"/>
        <w:bidi w:val="0"/>
        <w:spacing w:before="0" w:after="0"/>
        <w:ind w:left="397" w:right="0" w:hanging="0"/>
        <w:contextualSpacing/>
        <w:jc w:val="left"/>
        <w:rPr/>
      </w:pPr>
      <w:r>
        <w:rPr>
          <w:rFonts w:ascii="Verdana" w:hAnsi="Verdana"/>
          <w:sz w:val="22"/>
          <w:szCs w:val="22"/>
        </w:rPr>
        <w:t>- Gli enzimi: catalizzatori biologici (specificità di substrato e modello chiave serratura)</w:t>
      </w:r>
    </w:p>
    <w:p>
      <w:pPr>
        <w:pStyle w:val="ListParagraph"/>
        <w:widowControl/>
        <w:suppressAutoHyphens w:val="true"/>
        <w:bidi w:val="0"/>
        <w:spacing w:before="0" w:after="0"/>
        <w:ind w:left="397" w:right="0" w:hanging="0"/>
        <w:contextualSpacing/>
        <w:jc w:val="left"/>
        <w:rPr/>
      </w:pPr>
      <w:r>
        <w:rPr>
          <w:rFonts w:ascii="Verdana" w:hAnsi="Verdana"/>
          <w:sz w:val="22"/>
          <w:szCs w:val="22"/>
        </w:rPr>
        <w:t>- Il metabolismo: catabolismo e reazioni esoergoniche, anabolismo e reazioni endotermiche</w:t>
      </w:r>
    </w:p>
    <w:p>
      <w:pPr>
        <w:pStyle w:val="ListParagraph"/>
        <w:widowControl/>
        <w:suppressAutoHyphens w:val="true"/>
        <w:bidi w:val="0"/>
        <w:spacing w:before="0" w:after="0"/>
        <w:ind w:left="397" w:right="0" w:hanging="0"/>
        <w:contextualSpacing/>
        <w:jc w:val="left"/>
        <w:rPr/>
      </w:pPr>
      <w:r>
        <w:rPr>
          <w:rFonts w:ascii="Verdana" w:hAnsi="Verdana"/>
          <w:sz w:val="22"/>
          <w:szCs w:val="22"/>
        </w:rPr>
        <w:t>- ATP ed energia per la cellulare</w:t>
      </w:r>
    </w:p>
    <w:p>
      <w:pPr>
        <w:pStyle w:val="ListParagraph"/>
        <w:widowControl/>
        <w:suppressAutoHyphens w:val="true"/>
        <w:bidi w:val="0"/>
        <w:spacing w:before="0" w:after="0"/>
        <w:ind w:left="397" w:right="0" w:hanging="0"/>
        <w:contextualSpacing/>
        <w:jc w:val="left"/>
        <w:rPr/>
      </w:pPr>
      <w:r>
        <w:rPr>
          <w:rFonts w:ascii="Verdana" w:hAnsi="Verdana"/>
          <w:sz w:val="22"/>
          <w:szCs w:val="22"/>
        </w:rPr>
        <w:t>- Le strategie nutritive dei viventi (fotolitotrofi autotrofi, fotorganotrofi eterotrofi, chemiolitotrofi autotrofi, chemiorganotrofi eterotrofi)</w:t>
      </w:r>
    </w:p>
    <w:p>
      <w:pPr>
        <w:pStyle w:val="ListParagraph"/>
        <w:widowControl/>
        <w:suppressAutoHyphens w:val="true"/>
        <w:bidi w:val="0"/>
        <w:spacing w:before="0" w:after="0"/>
        <w:ind w:left="397" w:right="0" w:hanging="0"/>
        <w:contextualSpacing/>
        <w:jc w:val="left"/>
        <w:rPr/>
      </w:pPr>
      <w:r>
        <w:rPr>
          <w:rFonts w:ascii="Verdana" w:hAnsi="Verdana"/>
          <w:sz w:val="22"/>
          <w:szCs w:val="22"/>
        </w:rPr>
        <w:t>- Le ossidazioni biologiche: fonti di energia</w:t>
      </w:r>
    </w:p>
    <w:p>
      <w:pPr>
        <w:pStyle w:val="ListParagraph"/>
        <w:widowControl/>
        <w:suppressAutoHyphens w:val="true"/>
        <w:bidi w:val="0"/>
        <w:spacing w:before="0" w:after="0"/>
        <w:ind w:left="397" w:right="0" w:hanging="0"/>
        <w:contextualSpacing/>
        <w:jc w:val="left"/>
        <w:rPr/>
      </w:pPr>
      <w:r>
        <w:rPr>
          <w:rFonts w:ascii="Verdana" w:hAnsi="Verdana"/>
          <w:sz w:val="22"/>
          <w:szCs w:val="22"/>
        </w:rPr>
        <w:t>- Vie cataboliche: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before="0" w:after="0"/>
        <w:ind w:left="737" w:right="0" w:hanging="0"/>
        <w:contextualSpacing/>
        <w:jc w:val="left"/>
        <w:rPr/>
      </w:pPr>
      <w:r>
        <w:rPr>
          <w:rFonts w:ascii="Verdana" w:hAnsi="Verdana"/>
          <w:sz w:val="22"/>
          <w:szCs w:val="22"/>
        </w:rPr>
        <w:t xml:space="preserve">la glicolisi, 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before="0" w:after="0"/>
        <w:ind w:left="737" w:right="0" w:hanging="0"/>
        <w:contextualSpacing/>
        <w:jc w:val="left"/>
        <w:rPr/>
      </w:pPr>
      <w:r>
        <w:rPr>
          <w:rFonts w:ascii="Verdana" w:hAnsi="Verdana"/>
          <w:sz w:val="22"/>
          <w:szCs w:val="22"/>
        </w:rPr>
        <w:t>la respirazione cellulare (ossidazione del piruvato, ciclo di Krebs, catena respiratoria e fosforilazione ossidativa)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before="0" w:after="0"/>
        <w:ind w:left="737" w:right="0" w:hanging="0"/>
        <w:contextualSpacing/>
        <w:jc w:val="left"/>
        <w:rPr/>
      </w:pPr>
      <w:r>
        <w:rPr>
          <w:rFonts w:ascii="Verdana" w:hAnsi="Verdana"/>
          <w:sz w:val="22"/>
          <w:szCs w:val="22"/>
        </w:rPr>
        <w:t>la respirazione anaerobica (denitrificazione, riduzione del solfato, acetogenesi e metanogenesi, schema di un depuratore anaerobico per la produzione di biogas)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before="0" w:after="0"/>
        <w:ind w:left="737" w:right="0" w:hanging="0"/>
        <w:contextualSpacing/>
        <w:jc w:val="left"/>
        <w:rPr/>
      </w:pPr>
      <w:r>
        <w:rPr>
          <w:rFonts w:ascii="Verdana" w:hAnsi="Verdana"/>
          <w:sz w:val="22"/>
          <w:szCs w:val="22"/>
        </w:rPr>
        <w:t>la fermentazione microbica (alcolica, lattica, butirrica)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397" w:right="0" w:hanging="0"/>
        <w:contextualSpacing/>
        <w:jc w:val="left"/>
        <w:rPr/>
      </w:pPr>
      <w:r>
        <w:rPr>
          <w:rFonts w:ascii="Verdana" w:hAnsi="Verdana"/>
          <w:sz w:val="22"/>
          <w:szCs w:val="22"/>
        </w:rPr>
        <w:t>- La chemiolitotrofia: energia da sostanze inorganiche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before="0" w:after="0"/>
        <w:ind w:left="737" w:right="0" w:hanging="0"/>
        <w:contextualSpacing/>
        <w:jc w:val="both"/>
        <w:rPr/>
      </w:pPr>
      <w:r>
        <w:rPr>
          <w:rFonts w:ascii="Verdana" w:hAnsi="Verdana"/>
          <w:sz w:val="22"/>
          <w:szCs w:val="22"/>
        </w:rPr>
        <w:t>ossidazione dei composti ridotti dell’azoto (nitrificazione e ammonificazione)</w:t>
      </w:r>
    </w:p>
    <w:p>
      <w:pPr>
        <w:pStyle w:val="ListParagraph"/>
        <w:widowControl/>
        <w:suppressAutoHyphens w:val="true"/>
        <w:bidi w:val="0"/>
        <w:spacing w:before="0" w:after="0"/>
        <w:ind w:left="397" w:right="0" w:hanging="0"/>
        <w:contextualSpacing/>
        <w:jc w:val="left"/>
        <w:rPr/>
      </w:pPr>
      <w:r>
        <w:rPr>
          <w:rFonts w:ascii="Verdana" w:hAnsi="Verdana"/>
          <w:sz w:val="22"/>
          <w:szCs w:val="22"/>
        </w:rPr>
        <w:t>- Vie anaboliche: la fototrofia (i batteri fotosintetici ossigenici e i batteri fotosintetici anossigenici).</w:t>
      </w:r>
    </w:p>
    <w:p>
      <w:pPr>
        <w:pStyle w:val="ListParagraph"/>
        <w:ind w:left="720" w:hanging="0"/>
        <w:rPr/>
      </w:pPr>
      <w:r>
        <w:rPr>
          <w:rFonts w:ascii="Verdana" w:hAnsi="Verdana"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</w:r>
    </w:p>
    <w:p>
      <w:pPr>
        <w:pStyle w:val="Normal"/>
        <w:jc w:val="center"/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b/>
          <w:sz w:val="22"/>
          <w:szCs w:val="22"/>
          <w:u w:val="single"/>
        </w:rPr>
        <w:t>ESERCITAZIONI DI LABORATORIO</w:t>
      </w:r>
    </w:p>
    <w:p>
      <w:pPr>
        <w:pStyle w:val="Normal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</w:r>
    </w:p>
    <w:p>
      <w:pPr>
        <w:pStyle w:val="Normal"/>
        <w:jc w:val="both"/>
        <w:rPr>
          <w:rFonts w:ascii="Verdana" w:hAnsi="Verdana"/>
          <w:b w:val="false"/>
          <w:bCs w:val="false"/>
          <w:sz w:val="22"/>
          <w:szCs w:val="22"/>
          <w:u w:val="none"/>
        </w:rPr>
      </w:pPr>
      <w:r>
        <w:rPr>
          <w:rFonts w:cs="Arial" w:ascii="Verdana" w:hAnsi="Verdana"/>
          <w:b w:val="false"/>
          <w:bCs w:val="false"/>
          <w:sz w:val="22"/>
          <w:szCs w:val="22"/>
          <w:u w:val="none"/>
        </w:rPr>
        <w:t>- La sicurezza nel laboratorio di microbiologia</w:t>
      </w:r>
    </w:p>
    <w:p>
      <w:pPr>
        <w:pStyle w:val="Normal"/>
        <w:jc w:val="both"/>
        <w:rPr>
          <w:rFonts w:ascii="Verdana" w:hAnsi="Verdana"/>
          <w:b w:val="false"/>
          <w:bCs w:val="false"/>
          <w:sz w:val="22"/>
          <w:szCs w:val="22"/>
          <w:u w:val="none"/>
        </w:rPr>
      </w:pPr>
      <w:r>
        <w:rPr>
          <w:rFonts w:ascii="Verdana" w:hAnsi="Verdana"/>
          <w:b w:val="false"/>
          <w:bCs w:val="false"/>
          <w:sz w:val="22"/>
          <w:szCs w:val="22"/>
          <w:u w:val="none"/>
        </w:rPr>
        <w:t>- Vetreria e strumenti di laboratorio</w:t>
      </w:r>
    </w:p>
    <w:p>
      <w:pPr>
        <w:pStyle w:val="Normal"/>
        <w:jc w:val="both"/>
        <w:rPr>
          <w:rFonts w:ascii="Verdana" w:hAnsi="Verdana"/>
          <w:b w:val="false"/>
          <w:bCs w:val="false"/>
          <w:sz w:val="22"/>
          <w:szCs w:val="22"/>
          <w:u w:val="none"/>
        </w:rPr>
      </w:pPr>
      <w:r>
        <w:rPr>
          <w:rFonts w:ascii="Verdana" w:hAnsi="Verdana"/>
          <w:b w:val="false"/>
          <w:bCs w:val="false"/>
          <w:sz w:val="22"/>
          <w:szCs w:val="22"/>
          <w:u w:val="none"/>
        </w:rPr>
        <w:t>- Metodi di lavoro in laboratorio e concetto di ambiente sterile</w:t>
      </w:r>
    </w:p>
    <w:p>
      <w:pPr>
        <w:pStyle w:val="Normal"/>
        <w:jc w:val="both"/>
        <w:rPr>
          <w:rFonts w:ascii="Verdana" w:hAnsi="Verdana"/>
          <w:b w:val="false"/>
          <w:bCs w:val="false"/>
          <w:sz w:val="22"/>
          <w:szCs w:val="22"/>
          <w:u w:val="none"/>
        </w:rPr>
      </w:pPr>
      <w:r>
        <w:rPr>
          <w:rFonts w:ascii="Verdana" w:hAnsi="Verdana"/>
          <w:b w:val="false"/>
          <w:bCs w:val="false"/>
          <w:sz w:val="22"/>
          <w:szCs w:val="22"/>
          <w:u w:val="none"/>
        </w:rPr>
        <w:t>- La cappa a flusso laminare e varie tipologie di cappe</w:t>
      </w:r>
    </w:p>
    <w:p>
      <w:pPr>
        <w:pStyle w:val="Normal"/>
        <w:jc w:val="both"/>
        <w:rPr>
          <w:rFonts w:ascii="Verdana" w:hAnsi="Verdana"/>
          <w:b w:val="false"/>
          <w:bCs w:val="false"/>
          <w:sz w:val="22"/>
          <w:szCs w:val="22"/>
          <w:u w:val="none"/>
        </w:rPr>
      </w:pPr>
      <w:r>
        <w:rPr>
          <w:rFonts w:ascii="Verdana" w:hAnsi="Verdana"/>
          <w:b w:val="false"/>
          <w:bCs w:val="false"/>
          <w:sz w:val="22"/>
          <w:szCs w:val="22"/>
          <w:u w:val="none"/>
        </w:rPr>
        <w:t xml:space="preserve">- Il microscopio ottico: 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ascii="Verdana" w:hAnsi="Verdana"/>
          <w:b w:val="false"/>
          <w:bCs w:val="false"/>
          <w:sz w:val="22"/>
          <w:szCs w:val="22"/>
          <w:u w:val="none"/>
        </w:rPr>
        <w:t>struttura e funzione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ascii="Verdana" w:hAnsi="Verdana"/>
          <w:b w:val="false"/>
          <w:bCs w:val="false"/>
          <w:sz w:val="22"/>
          <w:szCs w:val="22"/>
          <w:u w:val="none"/>
        </w:rPr>
        <w:t>messa a fuoco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ascii="Verdana" w:hAnsi="Verdana"/>
          <w:b w:val="false"/>
          <w:bCs w:val="false"/>
          <w:sz w:val="22"/>
          <w:szCs w:val="22"/>
          <w:u w:val="none"/>
        </w:rPr>
        <w:t>preparazione di vetrini a fresco</w:t>
      </w:r>
    </w:p>
    <w:p>
      <w:pPr>
        <w:pStyle w:val="Normal"/>
        <w:jc w:val="both"/>
        <w:rPr/>
      </w:pPr>
      <w:r>
        <w:rPr>
          <w:rFonts w:ascii="Verdana" w:hAnsi="Verdana"/>
          <w:b w:val="false"/>
          <w:bCs w:val="false"/>
          <w:sz w:val="22"/>
          <w:szCs w:val="22"/>
          <w:u w:val="none"/>
        </w:rPr>
        <w:t>- Osservazione al microscopio ottico di mitosi in cellule di apici radicali di cipolla</w:t>
      </w:r>
    </w:p>
    <w:p>
      <w:pPr>
        <w:pStyle w:val="Normal"/>
        <w:jc w:val="both"/>
        <w:rPr/>
      </w:pPr>
      <w:r>
        <w:rPr>
          <w:rFonts w:ascii="Verdana" w:hAnsi="Verdana"/>
          <w:b w:val="false"/>
          <w:bCs w:val="false"/>
          <w:sz w:val="22"/>
          <w:szCs w:val="22"/>
          <w:u w:val="none"/>
        </w:rPr>
        <w:t xml:space="preserve">- Le colture microbiche: 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Verdana" w:hAnsi="Verdana"/>
          <w:b w:val="false"/>
          <w:bCs w:val="false"/>
          <w:sz w:val="22"/>
          <w:szCs w:val="22"/>
          <w:u w:val="none"/>
        </w:rPr>
        <w:t>preparazione di un terreno di coltura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Verdana" w:hAnsi="Verdana"/>
          <w:b w:val="false"/>
          <w:bCs w:val="false"/>
          <w:sz w:val="22"/>
          <w:szCs w:val="22"/>
          <w:u w:val="none"/>
        </w:rPr>
        <w:t>terreni generici, selettivi, differenziali e di arricchimento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Verdana" w:hAnsi="Verdana"/>
          <w:b w:val="false"/>
          <w:bCs w:val="false"/>
          <w:sz w:val="22"/>
          <w:szCs w:val="22"/>
          <w:u w:val="none"/>
        </w:rPr>
        <w:t>tecniche di semina (per striscio e per inclusione)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Verdana" w:hAnsi="Verdana"/>
          <w:b w:val="false"/>
          <w:bCs w:val="false"/>
          <w:sz w:val="22"/>
          <w:szCs w:val="22"/>
          <w:u w:val="none"/>
        </w:rPr>
        <w:t>osservazione e lettura di una piastra dopo la crescita microbica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Verdana" w:hAnsi="Verdana"/>
          <w:b w:val="false"/>
          <w:bCs w:val="false"/>
          <w:sz w:val="22"/>
          <w:szCs w:val="22"/>
          <w:u w:val="none"/>
        </w:rPr>
        <w:t>fattori che influenzano la crescita microbica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Verdana" w:hAnsi="Verdana"/>
          <w:b w:val="false"/>
          <w:bCs w:val="false"/>
          <w:sz w:val="22"/>
          <w:szCs w:val="22"/>
          <w:u w:val="none"/>
        </w:rPr>
        <w:t>crescita di microrganismi in diverse condizioni per testare: l’influenza dell’ossigeno sulla crescita (anaerobiosi), l’influenza del pH, l’influenza della temperatura. Osservazione e lettura delle piastre ottenute. Conclusioni.</w:t>
      </w:r>
    </w:p>
    <w:p>
      <w:pPr>
        <w:pStyle w:val="Normal"/>
        <w:jc w:val="both"/>
        <w:rPr>
          <w:rFonts w:ascii="Verdana" w:hAnsi="Verdana"/>
          <w:b w:val="false"/>
          <w:bCs w:val="false"/>
          <w:sz w:val="22"/>
          <w:szCs w:val="22"/>
          <w:u w:val="none"/>
        </w:rPr>
      </w:pPr>
      <w:r>
        <w:rPr>
          <w:rFonts w:ascii="Verdana" w:hAnsi="Verdana"/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>
          <w:rFonts w:ascii="Verdana" w:hAnsi="Verdana"/>
          <w:b w:val="false"/>
          <w:bCs w:val="false"/>
          <w:sz w:val="22"/>
          <w:szCs w:val="22"/>
          <w:u w:val="none"/>
        </w:rPr>
      </w:pPr>
      <w:r>
        <w:rPr>
          <w:rFonts w:ascii="Verdana" w:hAnsi="Verdana"/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>
          <w:rFonts w:ascii="Verdana" w:hAnsi="Verdana"/>
          <w:b w:val="false"/>
          <w:bCs w:val="false"/>
          <w:sz w:val="22"/>
          <w:szCs w:val="22"/>
          <w:u w:val="none"/>
        </w:rPr>
      </w:pPr>
      <w:r>
        <w:rPr>
          <w:rFonts w:ascii="Verdana" w:hAnsi="Verdana"/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>
          <w:rFonts w:ascii="Verdana" w:hAnsi="Verdana"/>
          <w:b w:val="false"/>
          <w:bCs w:val="false"/>
          <w:sz w:val="22"/>
          <w:szCs w:val="22"/>
          <w:u w:val="none"/>
        </w:rPr>
      </w:pPr>
      <w:r>
        <w:rPr>
          <w:rFonts w:ascii="Verdana" w:hAnsi="Verdana"/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Bergamo, 4 Giugno 2023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jc w:val="right"/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Firma dei docenti</w:t>
      </w:r>
    </w:p>
    <w:p>
      <w:pPr>
        <w:pStyle w:val="Normal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Anna D’Amico</w:t>
      </w:r>
    </w:p>
    <w:p>
      <w:pPr>
        <w:pStyle w:val="Normal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Rocco Buffone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134" w:right="1134" w:gutter="0" w:header="720" w:top="794" w:footer="430" w:bottom="795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</w:p>
  <w:p>
    <w:pPr>
      <w:pStyle w:val="Pidipagina"/>
      <w:rPr>
        <w:sz w:val="16"/>
        <w:szCs w:val="16"/>
      </w:rPr>
    </w:pPr>
    <w:r>
      <w:rPr>
        <w:sz w:val="16"/>
        <w:szCs w:val="16"/>
      </w:rPr>
    </w:r>
  </w:p>
  <w:p>
    <w:pPr>
      <w:pStyle w:val="Pidipagina"/>
      <w:jc w:val="center"/>
      <w:rPr/>
    </w:pPr>
    <w:r>
      <w:rPr/>
    </w:r>
  </w:p>
  <w:p>
    <w:pPr>
      <w:pStyle w:val="Pidipa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</w:p>
  <w:p>
    <w:pPr>
      <w:pStyle w:val="Pidipagina"/>
      <w:rPr>
        <w:sz w:val="16"/>
        <w:szCs w:val="16"/>
      </w:rPr>
    </w:pPr>
    <w:r>
      <w:rPr>
        <w:sz w:val="16"/>
        <w:szCs w:val="16"/>
      </w:rPr>
    </w:r>
  </w:p>
  <w:p>
    <w:pPr>
      <w:pStyle w:val="Pidipagina"/>
      <w:jc w:val="center"/>
      <w:rPr/>
    </w:pPr>
    <w:r>
      <w:rPr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638"/>
    </w:tblGrid>
    <w:tr>
      <w:trPr>
        <w:trHeight w:val="1916" w:hRule="atLeast"/>
      </w:trPr>
      <w:tc>
        <w:tcPr>
          <w:tcW w:w="9638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>
              <w:color w:val="000000"/>
            </w:rPr>
          </w:pPr>
          <w:r>
            <w:rPr/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1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inline distT="0" distB="0" distL="0" distR="0">
                <wp:extent cx="304800" cy="349250"/>
                <wp:effectExtent l="0" t="0" r="0" b="0"/>
                <wp:docPr id="2" name="Immagine3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3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49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>
          <w:pPr>
            <w:pStyle w:val="Normal"/>
            <w:widowControl w:val="false"/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>
          <w:pPr>
            <w:pStyle w:val="Normal"/>
            <w:widowControl w:val="false"/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>
          <w:pPr>
            <w:pStyle w:val="Normal"/>
            <w:widowControl w:val="false"/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>
            <w:rPr>
              <w:rFonts w:eastAsia="Wingdings 2" w:cs="Wingdings 2" w:ascii="Wingdings 2" w:hAnsi="Wingdings 2"/>
              <w:sz w:val="22"/>
              <w:szCs w:val="22"/>
              <w:lang w:val="x-none" w:eastAsia="x-none"/>
            </w:rPr>
            <w:sym w:font="Wingdings 2" w:char="f027"/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035 </w:t>
          </w:r>
          <w:r>
            <w:rPr>
              <w:rFonts w:ascii="Verdana" w:hAnsi="Verdana"/>
              <w:sz w:val="22"/>
              <w:szCs w:val="22"/>
              <w:lang w:eastAsia="x-none"/>
            </w:rPr>
            <w:t>220213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>
            <w:rPr>
              <w:rFonts w:eastAsia="Wingdings 2" w:cs="Wingdings 2" w:ascii="Wingdings 2" w:hAnsi="Wingdings 2"/>
              <w:sz w:val="22"/>
              <w:szCs w:val="22"/>
              <w:lang w:val="x-none" w:eastAsia="x-none"/>
            </w:rPr>
            <w:sym w:font="Wingdings 2" w:char="f037"/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>
          <w:pPr>
            <w:pStyle w:val="Normal"/>
            <w:widowControl w:val="false"/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>
      <w:trPr>
        <w:trHeight w:val="161" w:hRule="atLeast"/>
      </w:trPr>
      <w:tc>
        <w:tcPr>
          <w:tcW w:w="96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>
              <w:rFonts w:ascii="Verdana" w:hAnsi="Verdana" w:eastAsia="Batang"/>
              <w:b/>
              <w:bCs/>
              <w:sz w:val="24"/>
              <w:szCs w:val="24"/>
            </w:rPr>
          </w:pPr>
          <w:r>
            <w:rPr>
              <w:rFonts w:eastAsia="Batang" w:ascii="Verdana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"/>
    <w:next w:val="Normal"/>
    <w:qFormat/>
    <w:pPr>
      <w:keepNext w:val="true"/>
      <w:widowControl w:val="false"/>
      <w:jc w:val="center"/>
      <w:outlineLvl w:val="1"/>
    </w:pPr>
    <w:rPr>
      <w:sz w:val="24"/>
    </w:rPr>
  </w:style>
  <w:style w:type="paragraph" w:styleId="Titolo3">
    <w:name w:val="Heading 3"/>
    <w:basedOn w:val="Normal"/>
    <w:next w:val="Normal"/>
    <w:qFormat/>
    <w:pPr>
      <w:keepNext w:val="true"/>
      <w:widowControl w:val="false"/>
      <w:jc w:val="both"/>
      <w:outlineLvl w:val="2"/>
    </w:pPr>
    <w:rPr>
      <w:sz w:val="24"/>
      <w:u w:val="single"/>
    </w:rPr>
  </w:style>
  <w:style w:type="paragraph" w:styleId="Titolo4">
    <w:name w:val="Heading 4"/>
    <w:basedOn w:val="Normal"/>
    <w:next w:val="Normal"/>
    <w:link w:val="Titolo4Carattere"/>
    <w:qFormat/>
    <w:pPr>
      <w:keepNext w:val="true"/>
      <w:widowControl w:val="false"/>
      <w:jc w:val="both"/>
      <w:outlineLvl w:val="3"/>
    </w:pPr>
    <w:rPr>
      <w:sz w:val="24"/>
      <w:lang w:val="x-none" w:eastAsia="x-none"/>
    </w:rPr>
  </w:style>
  <w:style w:type="paragraph" w:styleId="Titolo5">
    <w:name w:val="Heading 5"/>
    <w:basedOn w:val="Normal"/>
    <w:next w:val="Normal"/>
    <w:qFormat/>
    <w:pPr>
      <w:keepNext w:val="true"/>
      <w:widowControl w:val="false"/>
      <w:jc w:val="right"/>
      <w:outlineLvl w:val="4"/>
    </w:pPr>
    <w:rPr>
      <w:b/>
      <w:sz w:val="24"/>
    </w:rPr>
  </w:style>
  <w:style w:type="paragraph" w:styleId="Titolo6">
    <w:name w:val="Heading 6"/>
    <w:basedOn w:val="Normal"/>
    <w:next w:val="Normal"/>
    <w:qFormat/>
    <w:pPr>
      <w:keepNext w:val="true"/>
      <w:widowControl w:val="false"/>
      <w:jc w:val="center"/>
      <w:outlineLvl w:val="5"/>
    </w:pPr>
    <w:rPr>
      <w:b/>
      <w:sz w:val="24"/>
    </w:rPr>
  </w:style>
  <w:style w:type="paragraph" w:styleId="Titolo7">
    <w:name w:val="Heading 7"/>
    <w:basedOn w:val="Normal"/>
    <w:next w:val="Normal"/>
    <w:qFormat/>
    <w:pPr>
      <w:keepNext w:val="true"/>
      <w:jc w:val="center"/>
      <w:outlineLvl w:val="6"/>
    </w:pPr>
    <w:rPr>
      <w:b/>
      <w:sz w:val="28"/>
    </w:rPr>
  </w:style>
  <w:style w:type="paragraph" w:styleId="Titolo8">
    <w:name w:val="Heading 8"/>
    <w:basedOn w:val="Normal"/>
    <w:next w:val="Normal"/>
    <w:qFormat/>
    <w:pPr>
      <w:keepNext w:val="true"/>
      <w:jc w:val="center"/>
      <w:outlineLvl w:val="7"/>
    </w:pPr>
    <w:rPr>
      <w:b/>
      <w:sz w:val="40"/>
    </w:rPr>
  </w:style>
  <w:style w:type="paragraph" w:styleId="Titolo9">
    <w:name w:val="Heading 9"/>
    <w:basedOn w:val="Normal"/>
    <w:next w:val="Normal"/>
    <w:qFormat/>
    <w:pPr>
      <w:keepNext w:val="true"/>
      <w:jc w:val="center"/>
      <w:outlineLvl w:val="8"/>
    </w:pPr>
    <w:rPr>
      <w:b/>
      <w:i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ollegamentoInternet">
    <w:name w:val="Hyperlink"/>
    <w:rPr>
      <w:color w:val="0000FF"/>
      <w:u w:val="single"/>
    </w:rPr>
  </w:style>
  <w:style w:type="character" w:styleId="Titolo4Carattere" w:customStyle="1">
    <w:name w:val="Titolo 4 Carattere"/>
    <w:qFormat/>
    <w:rsid w:val="00542251"/>
    <w:rPr>
      <w:sz w:val="24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widowControl w:val="false"/>
      <w:jc w:val="both"/>
    </w:pPr>
    <w:rPr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jc w:val="center"/>
    </w:pPr>
    <w:rPr>
      <w:b/>
      <w:sz w:val="3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pPr>
      <w:spacing w:before="0" w:after="120"/>
      <w:ind w:left="283" w:hanging="0"/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789"/>
    <w:pPr>
      <w:spacing w:before="0" w:after="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192</TotalTime>
  <Application>LibreOffice/7.5.2.2$Windows_X86_64 LibreOffice_project/53bb9681a964705cf672590721dbc85eb4d0c3a2</Application>
  <AppVersion>15.0000</AppVersion>
  <Pages>3</Pages>
  <Words>777</Words>
  <Characters>4824</Characters>
  <CharactersWithSpaces>5473</CharactersWithSpaces>
  <Paragraphs>100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2023-06-01T07:51:00Z</dcterms:created>
  <dc:creator>ITAS</dc:creator>
  <dc:description/>
  <dc:language>it-IT</dc:language>
  <cp:lastModifiedBy/>
  <cp:lastPrinted>2016-05-24T16:44:00Z</cp:lastPrinted>
  <dcterms:modified xsi:type="dcterms:W3CDTF">2023-06-07T22:51:54Z</dcterms:modified>
  <cp:revision>10</cp:revision>
  <dc:subject/>
  <dc:title>ISTITUTO TECNICO AGRARIO STATALE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