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DOCENTE: BOTTA CHIARA</w:t>
        <w:tab/>
        <w:t xml:space="preserve"> DISCIPLINA: ITALIANO</w:t>
        <w:tab/>
        <w:tab/>
        <w:t xml:space="preserve">CLASSE: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Testo: Il bello della Letteratura, Vol.1 autori </w:t>
      </w:r>
      <w:r w:rsidDel="00000000" w:rsidR="00000000" w:rsidRPr="00000000">
        <w:rPr>
          <w:rFonts w:ascii="Arial" w:cs="Arial" w:eastAsia="Arial" w:hAnsi="Arial"/>
          <w:rtl w:val="0"/>
        </w:rPr>
        <w:t xml:space="preserve">M. Sambugar, G. Salà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L’organizzazione sociale e politica della società agraria dell’alto medioevo e della società feudale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 generali. Argomento trattato a livello interdisciplinare con storia.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Medioevo latino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Società e cultura. Storia della lingua e fenomeni letterari. Mentalità, istituzioni culturali e pubblico: la concezione del sapere; l’allegorismo; gli intellettuali: chierici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giullari.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nascita delle lingue nazionali. I primi documenti della formazione dei volgari romani.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L'età cortese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contesto sociale. L’amor cortese. Le forme della Letteratura: le canzoni di gesta; Il romanzo cortese-cavalleresco; la lirica provenzale.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letteratura religiosa nella civiltà comunale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Chiesa e movimenti ereticali; ordini dei mendicanti.I Francescani e la letteratura.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Francesco d’Assisi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vita ed opere; lettura ed analisi dell'opera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Cantico di Frate sole.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Iacopone da Todi: </w:t>
      </w:r>
      <w:r w:rsidDel="00000000" w:rsidR="00000000" w:rsidRPr="00000000">
        <w:rPr>
          <w:rFonts w:ascii="Arial" w:cs="Arial" w:eastAsia="Arial" w:hAnsi="Arial"/>
          <w:rtl w:val="0"/>
        </w:rPr>
        <w:t xml:space="preserve">cenni biografici; lettura ed analisi della lauda drammatica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Donna De Paradiso.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poesia lirica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nell'età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comunale dai Provenzali ai Siculo-toscani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scuola siciliana: contesto storico e sociale.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Iacopo da Lentini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lettura ed analisi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L’amore è un desio che ven da’ 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“Dolce stil novo”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“Dolce stil novo”: le ragioni di questa denominazione e la poetica; i luoghi, il tempo, gli autori.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G. Guinizzelli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lettura ed analisi di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cor gentil rempaira sempre amore; Io voglio del ver la mia donna laudare.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G. Cavalcanti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lettura ed analisi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Chi è questa che ven ch'ogn'om' la mira; Voi che per gli occhi mi passaste il core; Tu m'hai sì piena di dolor la mente.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poesia comico-parodica  nell'età comunale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0"/>
        </w:numPr>
        <w:ind w:left="720" w:hanging="360"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Cecco Angiolieri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lettura ed analisi di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S’i’ fossi foco ardere’ il mondo.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Vita nova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genesi, contenuti, significati; lettura ed analisi di: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9"/>
          <w:tab w:val="left" w:leader="none" w:pos="1149"/>
        </w:tabs>
        <w:spacing w:after="0" w:before="0" w:line="240" w:lineRule="auto"/>
        <w:ind w:left="737" w:right="0" w:firstLine="0"/>
        <w:jc w:val="left"/>
        <w:rPr>
          <w:rFonts w:ascii="Liberation Serif" w:cs="Liberation Serif" w:eastAsia="Liberation Serif" w:hAnsi="Liberation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Tanto gentil e tanto onesta pare la donna.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Rime: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temi; lettura ed analisi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Guido, I’ vorrei che tu e Lapo ed 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 vulgari eloquentia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genesi, contenuti, significati; visualizzazione concetti.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Monarchia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presupposti dell’opera, struttura e contenuti dell’opera, teoria dei due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 in contrasto c</w:t>
      </w:r>
      <w:r w:rsidDel="00000000" w:rsidR="00000000" w:rsidRPr="00000000">
        <w:rPr>
          <w:rFonts w:ascii="Arial" w:cs="Arial" w:eastAsia="Arial" w:hAnsi="Arial"/>
          <w:rtl w:val="0"/>
        </w:rPr>
        <w:t xml:space="preserve">on quella del Sole e della Luna.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Commedia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genesi, gli antecedenti; i fondamenti filosofici, visione medievale e preumanesimo, allegoria nella commedia, concezione figurale, Il titolo, il plurilinguismo dantesco, la tecnica narrativa, la descrizione dinamica, i racconti di secondo grado: lo scorso e l’ellissi, lo spazio e il tempo, la simmetria. La configurazione fisica e morale dell’oltretomba dantesca.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lettura ed analisi integrale dei seguenti otto  canti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III, V, VI, X, XIII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, XXVI, XXXIII.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Petrarca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vita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Petrarca, il suo pensiero e il suo essere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ova figura di intellettuale.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Canzoniere: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Petrarca e il volgare; la formazione del Canzoniere; Laura; il paesaggio; il dissidio e il suo superamento nella forma; lingua e stile. Lettura ed analisi di: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1"/>
          <w:tab w:val="left" w:leader="none" w:pos="1449"/>
        </w:tabs>
        <w:spacing w:after="0" w:before="0" w:line="240" w:lineRule="auto"/>
        <w:ind w:left="737" w:right="0" w:firstLine="0"/>
        <w:jc w:val="left"/>
        <w:rPr>
          <w:rFonts w:ascii="Liberation Serif" w:cs="Liberation Serif" w:eastAsia="Liberation Serif" w:hAnsi="Liberation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ch'ascoltate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rime sparse il suono;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1"/>
          <w:tab w:val="left" w:leader="none" w:pos="1449"/>
        </w:tabs>
        <w:spacing w:after="0" w:before="0" w:line="240" w:lineRule="auto"/>
        <w:ind w:left="737" w:right="0" w:firstLine="0"/>
        <w:jc w:val="left"/>
        <w:rPr>
          <w:rFonts w:ascii="Liberation Serif" w:cs="Liberation Serif" w:eastAsia="Liberation Serif" w:hAnsi="Liberation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Erano i capei d’oro a l’aura sparsi;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1"/>
          <w:tab w:val="left" w:leader="none" w:pos="1449"/>
        </w:tabs>
        <w:spacing w:after="0" w:before="0" w:line="240" w:lineRule="auto"/>
        <w:ind w:left="737" w:right="0" w:firstLine="0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- Movesi il vecchierel canuto e bianco;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1"/>
          <w:tab w:val="left" w:leader="none" w:pos="1449"/>
        </w:tabs>
        <w:spacing w:after="0" w:before="0" w:line="240" w:lineRule="auto"/>
        <w:ind w:left="737" w:right="0" w:firstLine="0"/>
        <w:jc w:val="left"/>
        <w:rPr>
          <w:rFonts w:ascii="Liberation Serif" w:cs="Liberation Serif" w:eastAsia="Liberation Serif" w:hAnsi="Liberation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Fiamma dal ciel su le tue trecce piova.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Boccaccio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Decameron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struttura e il pubblico,  il Proemio, la cornice, la mercatura e la cortesia cavalleresca, la Fortuna, l’amore, </w:t>
      </w:r>
      <w:r w:rsidDel="00000000" w:rsidR="00000000" w:rsidRPr="00000000">
        <w:rPr>
          <w:rFonts w:ascii="Arial" w:cs="Arial" w:eastAsia="Arial" w:hAnsi="Arial"/>
          <w:rtl w:val="0"/>
        </w:rPr>
        <w:t xml:space="preserve">l’ingegno,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reale, gli oggetti, il genere, la narrazione, la lingua.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 Ciappelletto</w:t>
      </w:r>
      <w:r w:rsidDel="00000000" w:rsidR="00000000" w:rsidRPr="00000000">
        <w:rPr>
          <w:rFonts w:ascii="Arial" w:cs="Arial" w:eastAsia="Arial" w:hAnsi="Arial"/>
          <w:rtl w:val="0"/>
        </w:rPr>
        <w:t xml:space="preserve">, lettura e analisi.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Laboratorio di scrittura.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Esercitazioni scritte varie riguardo a: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temi argomentativi ed espositivi.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analisi e comprensione di testi letterari.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analisi  di testi argomentativi non letterari relativi a temi </w:t>
      </w:r>
      <w:r w:rsidDel="00000000" w:rsidR="00000000" w:rsidRPr="00000000">
        <w:rPr>
          <w:rFonts w:ascii="Arial" w:cs="Arial" w:eastAsia="Arial" w:hAnsi="Arial"/>
          <w:rtl w:val="0"/>
        </w:rPr>
        <w:t xml:space="preserve">d'attualità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 tipologia B) – secondo le nuove normative che regolano gli Esami di stato.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Approfondimenti  Ed. Civica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5h primo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Progetto Ed. Civica educazione alla parità di genere. Intervento Gabanelli. Lavoro di gruppo di analisi  su tre letture: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Dante A., canto V Purgatorio, v 130 -132, Pia de’ Tolomei;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Anna Banti, Ma io dipingo;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Amelie Nothomb, Non ti arrabbiare.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85725</wp:posOffset>
          </wp:positionV>
          <wp:extent cx="659765" cy="720090"/>
          <wp:effectExtent b="0" l="0" r="0" t="0"/>
          <wp:wrapSquare wrapText="bothSides" distB="0" distT="0" distL="0" distR="0"/>
          <wp:docPr descr="Logo IIS Mario Rigoni Stern" id="1" name="image2.jpg"/>
          <a:graphic>
            <a:graphicData uri="http://schemas.openxmlformats.org/drawingml/2006/picture">
              <pic:pic>
                <pic:nvPicPr>
                  <pic:cNvPr descr="Logo IIS Mario Rigoni Stern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638.0" w:type="dxa"/>
      <w:jc w:val="left"/>
      <w:tblInd w:w="-108.0" w:type="dxa"/>
      <w:tblLayout w:type="fixed"/>
      <w:tblLook w:val="00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6">
          <w:pPr>
            <w:pageBreakBefore w:val="0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308610" cy="351155"/>
                <wp:effectExtent b="0" l="0" r="0" t="0"/>
                <wp:docPr descr="repubblica" id="2" name="image1.png"/>
                <a:graphic>
                  <a:graphicData uri="http://schemas.openxmlformats.org/drawingml/2006/picture">
                    <pic:pic>
                      <pic:nvPicPr>
                        <pic:cNvPr descr="repubblica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pageBreakBefore w:val="0"/>
            <w:jc w:val="center"/>
            <w:rPr>
              <w:rFonts w:ascii="Verdana" w:cs="Verdana" w:eastAsia="Verdana" w:hAnsi="Verdana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48">
          <w:pPr>
            <w:pageBreakBefore w:val="0"/>
            <w:jc w:val="center"/>
            <w:rPr>
              <w:rFonts w:ascii="Verdana" w:cs="Verdana" w:eastAsia="Verdana" w:hAnsi="Verdana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49">
          <w:pPr>
            <w:pageBreakBefore w:val="0"/>
            <w:jc w:val="center"/>
            <w:rPr>
              <w:rFonts w:ascii="Verdana" w:cs="Verdana" w:eastAsia="Verdana" w:hAnsi="Verdana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4A">
          <w:pPr>
            <w:pageBreakBefore w:val="0"/>
            <w:jc w:val="center"/>
            <w:rPr/>
          </w:pP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035 220213 - 035 220410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pageBreakBefore w:val="0"/>
            <w:jc w:val="center"/>
            <w:rPr/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C">
          <w:pPr>
            <w:pageBreakBefore w:val="0"/>
            <w:jc w:val="center"/>
            <w:rPr>
              <w:rFonts w:ascii="Verdana" w:cs="Verdana" w:eastAsia="Verdana" w:hAnsi="Verdana"/>
              <w:b w:val="1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PROGRAMMA SVOLTO </w:t>
          </w: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20</w:t>
          </w: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22</w:t>
          </w: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-2023–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◦"/>
      <w:lvlJc w:val="left"/>
      <w:pPr>
        <w:ind w:left="1080" w:hanging="360"/>
      </w:pPr>
      <w:rPr>
        <w:b w:val="1"/>
      </w:rPr>
    </w:lvl>
    <w:lvl w:ilvl="2">
      <w:start w:val="1"/>
      <w:numFmt w:val="bullet"/>
      <w:lvlText w:val="▪"/>
      <w:lvlJc w:val="left"/>
      <w:pPr>
        <w:ind w:left="1440" w:hanging="360"/>
      </w:pPr>
      <w:rPr>
        <w:b w:val="1"/>
      </w:rPr>
    </w:lvl>
    <w:lvl w:ilvl="3">
      <w:start w:val="1"/>
      <w:numFmt w:val="bullet"/>
      <w:lvlText w:val=""/>
      <w:lvlJc w:val="left"/>
      <w:pPr>
        <w:ind w:left="1800" w:hanging="360"/>
      </w:pPr>
      <w:rPr>
        <w:b w:val="1"/>
      </w:rPr>
    </w:lvl>
    <w:lvl w:ilvl="4">
      <w:start w:val="1"/>
      <w:numFmt w:val="bullet"/>
      <w:lvlText w:val="◦"/>
      <w:lvlJc w:val="left"/>
      <w:pPr>
        <w:ind w:left="2160" w:hanging="360"/>
      </w:pPr>
      <w:rPr>
        <w:b w:val="1"/>
      </w:rPr>
    </w:lvl>
    <w:lvl w:ilvl="5">
      <w:start w:val="1"/>
      <w:numFmt w:val="bullet"/>
      <w:lvlText w:val="▪"/>
      <w:lvlJc w:val="left"/>
      <w:pPr>
        <w:ind w:left="2520" w:hanging="360"/>
      </w:pPr>
      <w:rPr>
        <w:b w:val="1"/>
      </w:rPr>
    </w:lvl>
    <w:lvl w:ilvl="6">
      <w:start w:val="1"/>
      <w:numFmt w:val="bullet"/>
      <w:lvlText w:val=""/>
      <w:lvlJc w:val="left"/>
      <w:pPr>
        <w:ind w:left="2880" w:hanging="360"/>
      </w:pPr>
      <w:rPr>
        <w:b w:val="1"/>
      </w:rPr>
    </w:lvl>
    <w:lvl w:ilvl="7">
      <w:start w:val="1"/>
      <w:numFmt w:val="bullet"/>
      <w:lvlText w:val="◦"/>
      <w:lvlJc w:val="left"/>
      <w:pPr>
        <w:ind w:left="3240" w:hanging="360"/>
      </w:pPr>
      <w:rPr>
        <w:b w:val="1"/>
      </w:rPr>
    </w:lvl>
    <w:lvl w:ilvl="8">
      <w:start w:val="1"/>
      <w:numFmt w:val="bullet"/>
      <w:lvlText w:val="▪"/>
      <w:lvlJc w:val="left"/>
      <w:pPr>
        <w:ind w:left="3600" w:hanging="360"/>
      </w:pPr>
      <w:rPr>
        <w:b w:val="1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◦"/>
      <w:lvlJc w:val="left"/>
      <w:pPr>
        <w:ind w:left="1080" w:hanging="360"/>
      </w:pPr>
      <w:rPr>
        <w:b w:val="1"/>
      </w:rPr>
    </w:lvl>
    <w:lvl w:ilvl="2">
      <w:start w:val="1"/>
      <w:numFmt w:val="bullet"/>
      <w:lvlText w:val="▪"/>
      <w:lvlJc w:val="left"/>
      <w:pPr>
        <w:ind w:left="1440" w:hanging="360"/>
      </w:pPr>
      <w:rPr>
        <w:b w:val="1"/>
      </w:rPr>
    </w:lvl>
    <w:lvl w:ilvl="3">
      <w:start w:val="1"/>
      <w:numFmt w:val="bullet"/>
      <w:lvlText w:val=""/>
      <w:lvlJc w:val="left"/>
      <w:pPr>
        <w:ind w:left="1800" w:hanging="360"/>
      </w:pPr>
      <w:rPr>
        <w:b w:val="1"/>
      </w:rPr>
    </w:lvl>
    <w:lvl w:ilvl="4">
      <w:start w:val="1"/>
      <w:numFmt w:val="bullet"/>
      <w:lvlText w:val="◦"/>
      <w:lvlJc w:val="left"/>
      <w:pPr>
        <w:ind w:left="2160" w:hanging="360"/>
      </w:pPr>
      <w:rPr>
        <w:b w:val="1"/>
      </w:rPr>
    </w:lvl>
    <w:lvl w:ilvl="5">
      <w:start w:val="1"/>
      <w:numFmt w:val="bullet"/>
      <w:lvlText w:val="▪"/>
      <w:lvlJc w:val="left"/>
      <w:pPr>
        <w:ind w:left="2520" w:hanging="360"/>
      </w:pPr>
      <w:rPr>
        <w:b w:val="1"/>
      </w:rPr>
    </w:lvl>
    <w:lvl w:ilvl="6">
      <w:start w:val="1"/>
      <w:numFmt w:val="bullet"/>
      <w:lvlText w:val=""/>
      <w:lvlJc w:val="left"/>
      <w:pPr>
        <w:ind w:left="2880" w:hanging="360"/>
      </w:pPr>
      <w:rPr>
        <w:b w:val="1"/>
      </w:rPr>
    </w:lvl>
    <w:lvl w:ilvl="7">
      <w:start w:val="1"/>
      <w:numFmt w:val="bullet"/>
      <w:lvlText w:val="◦"/>
      <w:lvlJc w:val="left"/>
      <w:pPr>
        <w:ind w:left="3240" w:hanging="360"/>
      </w:pPr>
      <w:rPr>
        <w:b w:val="1"/>
      </w:rPr>
    </w:lvl>
    <w:lvl w:ilvl="8">
      <w:start w:val="1"/>
      <w:numFmt w:val="bullet"/>
      <w:lvlText w:val="▪"/>
      <w:lvlJc w:val="left"/>
      <w:pPr>
        <w:ind w:left="3600" w:hanging="360"/>
      </w:pPr>
      <w:rPr>
        <w:b w:val="1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