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"/>
        <w:numPr>
          <w:ilvl w:val="3"/>
          <w:numId w:val="2"/>
        </w:numPr>
      </w:pPr>
      <w:r>
        <w:rPr>
          <w:b/>
        </w:rPr>
        <w:t>DOCENTE: Rugna Mirella</w:t>
        <w:tab/>
        <w:t xml:space="preserve"> </w:t>
        <w:tab/>
        <w:t>DISCIPLINA : Inglese</w:t>
        <w:tab/>
        <w:tab/>
        <w:t>CLASSE : 3F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bookmarkStart w:id="0" w:name="_GoBack"/>
      <w:bookmarkEnd w:id="0"/>
      <w:r>
        <w:rPr>
          <w:b/>
          <w:sz w:val="24"/>
          <w:szCs w:val="24"/>
          <w:u w:val="single"/>
        </w:rPr>
        <w:t>PROGRAMMA ED ARGOMENTI TRATTATI  a.s. 2022-2023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szCs w:val="24"/>
        </w:rPr>
        <w:t xml:space="preserve">Dai testi : </w:t>
      </w:r>
      <w:r>
        <w:rPr>
          <w:b/>
          <w:sz w:val="24"/>
          <w:szCs w:val="24"/>
        </w:rPr>
        <w:t>Performer B2</w:t>
      </w:r>
      <w:r>
        <w:rPr>
          <w:sz w:val="24"/>
          <w:szCs w:val="24"/>
        </w:rPr>
        <w:t xml:space="preserve">  e  </w:t>
      </w:r>
      <w:r>
        <w:rPr>
          <w:b/>
          <w:sz w:val="24"/>
          <w:szCs w:val="24"/>
        </w:rPr>
        <w:t>Grammar files + fotocopie da fonti varie.</w:t>
      </w:r>
    </w:p>
    <w:p>
      <w:pPr>
        <w:pStyle w:val="style0"/>
      </w:pPr>
      <w:r>
        <w:rPr/>
      </w:r>
    </w:p>
    <w:tbl>
      <w:tblPr>
        <w:jc w:val="left"/>
        <w:tblInd w:type="dxa" w:w="-32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282"/>
        <w:gridCol w:w="3343"/>
      </w:tblGrid>
      <w:tr>
        <w:trPr>
          <w:cantSplit w:val="false"/>
        </w:trPr>
        <w:tc>
          <w:tcPr>
            <w:tcW w:type="dxa" w:w="6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Present simple e Continuous-  Stative verbs – Verbi di percezione 1 (attiva e passiva) – I verbi di percezione per esprimere: SEMBRARE,SENTIRE/SENTIRSI, VEDERE/GUARDARE-</w:t>
            </w:r>
          </w:p>
        </w:tc>
        <w:tc>
          <w:tcPr>
            <w:tcW w:type="dxa" w:w="33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Parlare di azioni abituali o in corso di svolgimento – Parlare di azioni volontarie o involontarie riferite ai sensi-</w:t>
            </w:r>
          </w:p>
        </w:tc>
      </w:tr>
      <w:tr>
        <w:trPr>
          <w:cantSplit w:val="false"/>
        </w:trPr>
        <w:tc>
          <w:tcPr>
            <w:tcW w:type="dxa" w:w="6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22"/>
                <w:szCs w:val="22"/>
                <w:lang w:val="en-US"/>
              </w:rPr>
              <w:t>Revision: Present Perfect</w:t>
            </w:r>
            <w:r>
              <w:rPr>
                <w:sz w:val="22"/>
                <w:szCs w:val="22"/>
                <w:lang w:val="en-US"/>
              </w:rPr>
              <w:t xml:space="preserve"> with Ever, Never, Already, Just, Yet- Been/gone - Confronto con Past Simple.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Present Perfect con For e Since. Struttura: It is … since –</w:t>
            </w:r>
          </w:p>
          <w:p>
            <w:pPr>
              <w:pStyle w:val="style0"/>
            </w:pPr>
            <w:r>
              <w:rPr>
                <w:b/>
                <w:sz w:val="22"/>
                <w:szCs w:val="22"/>
                <w:lang w:val="en-US"/>
              </w:rPr>
              <w:t>Present Perfect Continuous</w:t>
            </w:r>
            <w:r>
              <w:rPr>
                <w:sz w:val="22"/>
                <w:szCs w:val="22"/>
                <w:lang w:val="en-US"/>
              </w:rPr>
              <w:t xml:space="preserve">. Confronto con Present Perfect Simple.  </w:t>
            </w:r>
            <w:r>
              <w:rPr>
                <w:sz w:val="22"/>
                <w:szCs w:val="22"/>
              </w:rPr>
              <w:t>Duration form.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33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Parlare delle proprie esperienze.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Parlare di azioni che durano da un certo tempo –</w:t>
            </w:r>
          </w:p>
        </w:tc>
      </w:tr>
      <w:tr>
        <w:trPr>
          <w:cantSplit w:val="false"/>
        </w:trPr>
        <w:tc>
          <w:tcPr>
            <w:tcW w:type="dxa" w:w="6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Narrative tenses-Past simple , Past continuous; Past time expression- Past habits: Used to/Would-</w:t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Ability in the past : could – was able – managed to- succeed in-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  <w:lang w:val="en-US"/>
              </w:rPr>
              <w:t>BE/GET used to + Ing verb</w:t>
            </w:r>
          </w:p>
        </w:tc>
        <w:tc>
          <w:tcPr>
            <w:tcW w:type="dxa" w:w="33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 xml:space="preserve">Parlare di azioni in corso di svolgimento nel passato- Parlare delle abitudini del passato-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Esprimere l’abitudine a fare qualcosa o abituarsi a fare qualcosa.</w:t>
            </w:r>
          </w:p>
        </w:tc>
      </w:tr>
      <w:tr>
        <w:trPr>
          <w:cantSplit w:val="false"/>
        </w:trPr>
        <w:tc>
          <w:tcPr>
            <w:tcW w:type="dxa" w:w="6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 xml:space="preserve">Forma passiva : tutti i tempi. Verbi con doppio complemento. Costruzione personale - Passivo con i modali. – </w:t>
            </w:r>
          </w:p>
        </w:tc>
        <w:tc>
          <w:tcPr>
            <w:tcW w:type="dxa" w:w="33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Descrivere un prodotto.</w:t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Descrivere procedimenti –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2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Verbi seguiti dall’infinito, dalla forma base o dalla forma in “ing”- Verbo+ prep. + verb  ing form – Preposizioni + verbi “ing” con differenze di significato –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>Verbi di percezione 2 -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33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 xml:space="preserve">Esprimere opinioni preferenze o intenzioni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2"/>
                <w:szCs w:val="22"/>
              </w:rPr>
              <w:t xml:space="preserve">Percepire un’azione dall’inizio alla fine o solo in parte –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0" w:before="0"/>
        <w:contextualSpacing/>
      </w:pPr>
      <w:r>
        <w:rPr>
          <w:b/>
          <w:sz w:val="24"/>
          <w:szCs w:val="24"/>
          <w:lang w:val="en-US"/>
        </w:rPr>
        <w:t>Readings:</w:t>
      </w:r>
      <w:r>
        <w:rPr>
          <w:sz w:val="24"/>
          <w:szCs w:val="24"/>
          <w:lang w:val="en-US"/>
        </w:rPr>
        <w:t xml:space="preserve"> Friends can shape your life ; Zero hunger challenge; The challenge of integration; Banksy-and-street-art; A new idea in mobiles; </w:t>
      </w:r>
    </w:p>
    <w:p>
      <w:pPr>
        <w:pStyle w:val="style0"/>
      </w:pPr>
      <w:r>
        <w:rPr/>
      </w:r>
    </w:p>
    <w:p>
      <w:pPr>
        <w:pStyle w:val="style0"/>
        <w:ind w:hanging="0" w:left="0" w:right="-143"/>
      </w:pPr>
      <w:r>
        <w:rPr>
          <w:b/>
          <w:sz w:val="24"/>
          <w:szCs w:val="24"/>
          <w:lang w:val="en-US"/>
        </w:rPr>
        <w:t xml:space="preserve">Speaking: </w:t>
      </w:r>
      <w:r>
        <w:rPr>
          <w:sz w:val="24"/>
          <w:szCs w:val="24"/>
          <w:lang w:val="en-US"/>
        </w:rPr>
        <w:t>Talking about feelings at the end of the holidays; Talking about friends and friendship;</w:t>
      </w:r>
    </w:p>
    <w:p>
      <w:pPr>
        <w:pStyle w:val="style0"/>
        <w:spacing w:line="360" w:lineRule="auto"/>
      </w:pPr>
      <w:r>
        <w:rPr>
          <w:sz w:val="24"/>
          <w:szCs w:val="24"/>
          <w:lang w:val="en-US"/>
        </w:rPr>
        <w:t>Talking about Art; Talking about integration; Talking about water waste.</w:t>
      </w:r>
      <w:r>
        <w:rPr>
          <w:b/>
          <w:sz w:val="28"/>
          <w:szCs w:val="28"/>
          <w:lang w:val="en-US"/>
        </w:rPr>
        <w:t xml:space="preserve">                       </w:t>
      </w:r>
    </w:p>
    <w:p>
      <w:pPr>
        <w:pStyle w:val="style0"/>
      </w:pPr>
      <w:r>
        <w:rPr>
          <w:b/>
          <w:sz w:val="28"/>
          <w:szCs w:val="28"/>
        </w:rPr>
        <w:t>INGLESE TECNICO</w:t>
      </w:r>
      <w:r>
        <w:rPr>
          <w:sz w:val="22"/>
        </w:rPr>
        <w:t xml:space="preserve">  - 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3"/>
        </w:numPr>
      </w:pPr>
      <w:r>
        <w:rPr>
          <w:b/>
          <w:sz w:val="24"/>
          <w:szCs w:val="24"/>
          <w:lang w:val="en-US"/>
        </w:rPr>
        <w:t>SOIL</w:t>
      </w:r>
      <w:r>
        <w:rPr>
          <w:sz w:val="28"/>
          <w:szCs w:val="28"/>
          <w:lang w:val="en-US"/>
        </w:rPr>
        <w:t xml:space="preserve">: </w:t>
      </w:r>
    </w:p>
    <w:p>
      <w:pPr>
        <w:pStyle w:val="style0"/>
      </w:pPr>
      <w:r>
        <w:rPr>
          <w:sz w:val="24"/>
          <w:szCs w:val="24"/>
          <w:lang w:val="en-US"/>
        </w:rPr>
        <w:t>Soil - Soil management - Soil profile -Soil texture and structure – Rotation - Soil erosion -  Soil erosion in agricultural systems. The importance of plants.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3"/>
        </w:numPr>
      </w:pPr>
      <w:r>
        <w:rPr>
          <w:b/>
          <w:sz w:val="24"/>
          <w:szCs w:val="24"/>
          <w:lang w:val="en-US"/>
        </w:rPr>
        <w:t>WATER and AGRICULTURE</w:t>
      </w:r>
      <w:r>
        <w:rPr>
          <w:sz w:val="24"/>
          <w:szCs w:val="24"/>
          <w:lang w:val="en-US"/>
        </w:rPr>
        <w:t xml:space="preserve">: </w:t>
      </w:r>
    </w:p>
    <w:p>
      <w:pPr>
        <w:pStyle w:val="style0"/>
        <w:spacing w:line="360" w:lineRule="auto"/>
      </w:pPr>
      <w:r>
        <w:rPr>
          <w:sz w:val="24"/>
          <w:szCs w:val="24"/>
          <w:lang w:val="en-US"/>
        </w:rPr>
        <w:t>Water resources; Methods of irrigation; Drainage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3"/>
        </w:numPr>
      </w:pPr>
      <w:r>
        <w:rPr>
          <w:b/>
          <w:sz w:val="24"/>
          <w:szCs w:val="24"/>
          <w:lang w:val="en-US"/>
        </w:rPr>
        <w:t>MANURE and FERTILIZERS:</w:t>
      </w:r>
    </w:p>
    <w:p>
      <w:pPr>
        <w:pStyle w:val="style0"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Organic animal manures; Organic vegetable manure (compost; green manure); Chemical  synthetic fertilizers.</w:t>
      </w:r>
    </w:p>
    <w:p>
      <w:pPr>
        <w:pStyle w:val="style0"/>
        <w:ind w:hanging="0" w:left="720" w:right="0"/>
      </w:pPr>
      <w:r>
        <w:rPr/>
      </w:r>
    </w:p>
    <w:p>
      <w:pPr>
        <w:pStyle w:val="style37"/>
        <w:ind w:hanging="0" w:left="0" w:right="0"/>
      </w:pPr>
      <w:r>
        <w:rPr>
          <w:b/>
          <w:sz w:val="24"/>
          <w:szCs w:val="24"/>
          <w:u w:val="none"/>
          <w:lang w:val="en-US"/>
        </w:rPr>
        <w:t xml:space="preserve">      </w:t>
      </w:r>
      <w:r>
        <w:rPr>
          <w:b/>
          <w:sz w:val="24"/>
          <w:szCs w:val="24"/>
          <w:u w:val="none"/>
          <w:lang w:val="en-US"/>
        </w:rPr>
        <w:t xml:space="preserve">-     FARM MACHINERY </w:t>
      </w:r>
    </w:p>
    <w:p>
      <w:pPr>
        <w:pStyle w:val="style0"/>
        <w:ind w:hanging="0" w:left="315" w:right="0"/>
      </w:pPr>
      <w:r>
        <w:rPr>
          <w:sz w:val="24"/>
          <w:szCs w:val="24"/>
          <w:lang w:val="en-US"/>
        </w:rPr>
        <w:t>The tractor, the plough, the rotary cultivator, the harrow, the seed-drill, the manure spreader, the combine harvester. -  Hand tools.</w:t>
      </w:r>
    </w:p>
    <w:p>
      <w:pPr>
        <w:pStyle w:val="style0"/>
        <w:ind w:hanging="0" w:left="315" w:right="0"/>
      </w:pPr>
      <w:r>
        <w:rPr/>
      </w:r>
    </w:p>
    <w:p>
      <w:pPr>
        <w:pStyle w:val="style0"/>
        <w:ind w:hanging="0" w:left="315" w:right="0"/>
      </w:pPr>
      <w:r>
        <w:rPr/>
      </w:r>
    </w:p>
    <w:p>
      <w:pPr>
        <w:pStyle w:val="style0"/>
        <w:ind w:hanging="0" w:left="315" w:right="0"/>
      </w:pPr>
      <w:r>
        <w:rPr/>
      </w:r>
    </w:p>
    <w:p>
      <w:pPr>
        <w:pStyle w:val="style0"/>
        <w:ind w:hanging="0" w:left="315" w:right="0"/>
      </w:pPr>
      <w:r>
        <w:rPr/>
      </w:r>
    </w:p>
    <w:p>
      <w:pPr>
        <w:pStyle w:val="style0"/>
        <w:numPr>
          <w:ilvl w:val="0"/>
          <w:numId w:val="4"/>
        </w:numPr>
      </w:pPr>
      <w:r>
        <w:rPr>
          <w:b/>
          <w:smallCaps/>
          <w:sz w:val="24"/>
          <w:lang w:eastAsia="zh-CN"/>
        </w:rPr>
        <w:t xml:space="preserve">Sono state svolte lezioni mirate all'approfondimento delle abilità previste per l'esame   </w:t>
      </w:r>
      <w:r>
        <w:rPr>
          <w:b/>
          <w:sz w:val="28"/>
          <w:szCs w:val="28"/>
        </w:rPr>
        <w:t xml:space="preserve">PET  </w:t>
      </w:r>
    </w:p>
    <w:p>
      <w:pPr>
        <w:pStyle w:val="style0"/>
        <w:numPr>
          <w:ilvl w:val="0"/>
          <w:numId w:val="4"/>
        </w:numPr>
      </w:pPr>
      <w:r>
        <w:rPr>
          <w:b/>
        </w:rPr>
        <w:t xml:space="preserve">  </w:t>
      </w:r>
      <w:r>
        <w:rPr>
          <w:sz w:val="22"/>
          <w:szCs w:val="22"/>
          <w:lang w:val="en-US"/>
        </w:rPr>
        <w:t xml:space="preserve">Reading Skill ( reading strategies and practice) </w:t>
      </w:r>
    </w:p>
    <w:p>
      <w:pPr>
        <w:pStyle w:val="style0"/>
        <w:numPr>
          <w:ilvl w:val="0"/>
          <w:numId w:val="4"/>
        </w:numPr>
        <w:spacing w:after="0" w:before="0"/>
        <w:contextualSpacing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Listening Skill  ( strategies and practice) </w:t>
      </w:r>
    </w:p>
    <w:p>
      <w:pPr>
        <w:pStyle w:val="style0"/>
        <w:spacing w:after="0" w:before="0"/>
        <w:ind w:hanging="0" w:left="720" w:right="0"/>
        <w:contextualSpacing/>
      </w:pPr>
      <w:r>
        <w:rPr/>
      </w:r>
    </w:p>
    <w:p>
      <w:pPr>
        <w:pStyle w:val="style0"/>
        <w:spacing w:after="0" w:before="0"/>
        <w:ind w:hanging="0" w:left="720" w:right="0"/>
        <w:contextualSpacing/>
      </w:pPr>
      <w:r>
        <w:rPr/>
      </w:r>
    </w:p>
    <w:p>
      <w:pPr>
        <w:pStyle w:val="style0"/>
        <w:spacing w:after="0" w:before="0"/>
        <w:ind w:hanging="0" w:left="720" w:right="0"/>
        <w:contextualSpacing/>
      </w:pPr>
      <w:r>
        <w:rPr/>
      </w:r>
    </w:p>
    <w:p>
      <w:pPr>
        <w:pStyle w:val="style0"/>
        <w:ind w:hanging="0" w:left="720" w:right="0"/>
      </w:pPr>
      <w:r>
        <w:rPr>
          <w:b/>
          <w:sz w:val="24"/>
          <w:szCs w:val="24"/>
          <w:lang w:val="en-US"/>
        </w:rPr>
        <w:t>EDUCAZIONE CIVICA:</w:t>
      </w:r>
    </w:p>
    <w:p>
      <w:pPr>
        <w:pStyle w:val="style0"/>
        <w:numPr>
          <w:ilvl w:val="0"/>
          <w:numId w:val="3"/>
        </w:numPr>
      </w:pPr>
      <w:r>
        <w:rPr>
          <w:sz w:val="24"/>
          <w:szCs w:val="24"/>
        </w:rPr>
        <w:t xml:space="preserve">Water footprint:  Avvicinarsi ad un consumo consapevole e responsabile dell’acqua  in un’ottica di  sostenibilità. </w:t>
      </w:r>
      <w:r>
        <w:rPr>
          <w:sz w:val="24"/>
          <w:szCs w:val="24"/>
          <w:lang w:val="en-US"/>
        </w:rPr>
        <w:t>Azioni per evitare lo spreco dell'acqua.</w:t>
      </w:r>
    </w:p>
    <w:p>
      <w:pPr>
        <w:pStyle w:val="style0"/>
        <w:numPr>
          <w:ilvl w:val="0"/>
          <w:numId w:val="3"/>
        </w:numPr>
      </w:pPr>
      <w:r>
        <w:rPr>
          <w:sz w:val="24"/>
          <w:szCs w:val="24"/>
          <w:lang w:val="en-US"/>
        </w:rPr>
        <w:t xml:space="preserve">The Future of Water; Recycling water: Bill Gates Water Project. </w:t>
      </w:r>
      <w:r>
        <w:rPr>
          <w:sz w:val="24"/>
          <w:szCs w:val="24"/>
        </w:rPr>
        <w:t>Conoscere metodi, modi e progetti che esistono nel mondo per l’approvvigionamento idrico.</w:t>
      </w:r>
    </w:p>
    <w:p>
      <w:pPr>
        <w:pStyle w:val="style0"/>
      </w:pPr>
      <w:r>
        <w:rPr/>
      </w:r>
    </w:p>
    <w:p>
      <w:pPr>
        <w:pStyle w:val="style0"/>
        <w:spacing w:after="0" w:before="0"/>
        <w:contextualSpacing/>
      </w:pPr>
      <w:r>
        <w:rPr>
          <w:b/>
          <w:sz w:val="24"/>
          <w:szCs w:val="24"/>
        </w:rPr>
        <w:t xml:space="preserve">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0" w:before="0"/>
        <w:ind w:hanging="0" w:left="720" w:right="0"/>
        <w:contextualSpacing/>
      </w:pPr>
      <w:r>
        <w:rPr/>
      </w:r>
    </w:p>
    <w:p>
      <w:pPr>
        <w:pStyle w:val="style0"/>
        <w:spacing w:after="0" w:before="0"/>
        <w:contextualSpacing/>
      </w:pPr>
      <w:r>
        <w:rPr>
          <w:b/>
          <w:sz w:val="24"/>
          <w:szCs w:val="24"/>
        </w:rPr>
        <w:t xml:space="preserve">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567" w:footer="0" w:gutter="0" w:header="0" w:left="1134" w:right="1134" w:top="709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  <w:sz w:val="24"/>
        <w:b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  <w:b w:val="false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/>
      <w:suppressAutoHyphens w:val="true"/>
      <w:overflowPunct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hi-IN" w:eastAsia="it-IT" w:val="it-IT"/>
    </w:rPr>
  </w:style>
  <w:style w:styleId="style4" w:type="paragraph">
    <w:name w:val="Intestazione 4"/>
    <w:basedOn w:val="style0"/>
    <w:next w:val="style33"/>
    <w:pPr>
      <w:keepNext/>
      <w:widowControl w:val="false"/>
      <w:numPr>
        <w:ilvl w:val="3"/>
        <w:numId w:val="1"/>
      </w:numPr>
      <w:jc w:val="both"/>
      <w:outlineLvl w:val="3"/>
    </w:pPr>
    <w:rPr>
      <w:b/>
      <w:bCs/>
      <w:i/>
      <w:iCs/>
      <w:sz w:val="24"/>
      <w:szCs w:val="17"/>
    </w:rPr>
  </w:style>
  <w:style w:styleId="style15" w:type="character">
    <w:name w:val="Default Paragraph Font"/>
    <w:next w:val="style15"/>
    <w:rPr/>
  </w:style>
  <w:style w:styleId="style16" w:type="character">
    <w:name w:val="Titolo 4 Carattere"/>
    <w:basedOn w:val="style15"/>
    <w:next w:val="style16"/>
    <w:rPr>
      <w:rFonts w:ascii="Times New Roman" w:cs="Times New Roman" w:eastAsia="Times New Roman" w:hAnsi="Times New Roman"/>
      <w:sz w:val="24"/>
      <w:szCs w:val="20"/>
      <w:lang w:eastAsia="it-IT"/>
    </w:rPr>
  </w:style>
  <w:style w:styleId="style17" w:type="character">
    <w:name w:val="ListLabel 1"/>
    <w:next w:val="style17"/>
    <w:rPr>
      <w:rFonts w:cs="Times New Roman" w:eastAsia="Times New Roman"/>
      <w:b/>
      <w:sz w:val="24"/>
    </w:rPr>
  </w:style>
  <w:style w:styleId="style18" w:type="character">
    <w:name w:val="ListLabel 2"/>
    <w:next w:val="style18"/>
    <w:rPr>
      <w:rFonts w:cs="Courier New"/>
    </w:rPr>
  </w:style>
  <w:style w:styleId="style19" w:type="character">
    <w:name w:val="ListLabel 3"/>
    <w:next w:val="style19"/>
    <w:rPr>
      <w:rFonts w:cs="Times New Roman" w:eastAsia="Times New Roman"/>
      <w:b w:val="false"/>
    </w:rPr>
  </w:style>
  <w:style w:styleId="style20" w:type="character">
    <w:name w:val="ListLabel 4"/>
    <w:next w:val="style20"/>
    <w:rPr>
      <w:rFonts w:cs="Times New Roman" w:eastAsia="Times New Roman"/>
    </w:rPr>
  </w:style>
  <w:style w:styleId="style21" w:type="character">
    <w:name w:val="Subtle Emphasis"/>
    <w:basedOn w:val="style15"/>
    <w:next w:val="style21"/>
    <w:rPr>
      <w:i/>
      <w:iCs/>
      <w:color w:val="404040"/>
    </w:rPr>
  </w:style>
  <w:style w:styleId="style22" w:type="character">
    <w:name w:val="ListLabel 5"/>
    <w:next w:val="style22"/>
    <w:rPr>
      <w:rFonts w:cs="Times New Roman"/>
      <w:b/>
      <w:sz w:val="24"/>
    </w:rPr>
  </w:style>
  <w:style w:styleId="style23" w:type="character">
    <w:name w:val="ListLabel 6"/>
    <w:next w:val="style23"/>
    <w:rPr>
      <w:rFonts w:cs="Courier New"/>
    </w:rPr>
  </w:style>
  <w:style w:styleId="style24" w:type="character">
    <w:name w:val="ListLabel 7"/>
    <w:next w:val="style24"/>
    <w:rPr>
      <w:rFonts w:cs="Wingdings"/>
    </w:rPr>
  </w:style>
  <w:style w:styleId="style25" w:type="character">
    <w:name w:val="ListLabel 8"/>
    <w:next w:val="style25"/>
    <w:rPr>
      <w:rFonts w:cs="Symbol"/>
    </w:rPr>
  </w:style>
  <w:style w:styleId="style26" w:type="character">
    <w:name w:val="ListLabel 9"/>
    <w:next w:val="style26"/>
    <w:rPr>
      <w:rFonts w:cs="Times New Roman"/>
      <w:b w:val="false"/>
    </w:rPr>
  </w:style>
  <w:style w:styleId="style27" w:type="character">
    <w:name w:val="ListLabel 10"/>
    <w:next w:val="style27"/>
    <w:rPr>
      <w:rFonts w:cs="Times New Roman"/>
      <w:b/>
      <w:sz w:val="24"/>
    </w:rPr>
  </w:style>
  <w:style w:styleId="style28" w:type="character">
    <w:name w:val="ListLabel 11"/>
    <w:next w:val="style28"/>
    <w:rPr>
      <w:rFonts w:cs="Courier New"/>
    </w:rPr>
  </w:style>
  <w:style w:styleId="style29" w:type="character">
    <w:name w:val="ListLabel 12"/>
    <w:next w:val="style29"/>
    <w:rPr>
      <w:rFonts w:cs="Wingdings"/>
    </w:rPr>
  </w:style>
  <w:style w:styleId="style30" w:type="character">
    <w:name w:val="ListLabel 13"/>
    <w:next w:val="style30"/>
    <w:rPr>
      <w:rFonts w:cs="Symbol"/>
    </w:rPr>
  </w:style>
  <w:style w:styleId="style31" w:type="character">
    <w:name w:val="ListLabel 14"/>
    <w:next w:val="style31"/>
    <w:rPr>
      <w:rFonts w:cs="Times New Roman"/>
      <w:b w:val="false"/>
    </w:rPr>
  </w:style>
  <w:style w:styleId="style32" w:type="paragraph">
    <w:name w:val="Intestazione"/>
    <w:basedOn w:val="style0"/>
    <w:next w:val="style3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3" w:type="paragraph">
    <w:name w:val="Corpo testo"/>
    <w:basedOn w:val="style0"/>
    <w:next w:val="style33"/>
    <w:pPr>
      <w:spacing w:after="120" w:before="0"/>
      <w:contextualSpacing w:val="false"/>
    </w:pPr>
    <w:rPr/>
  </w:style>
  <w:style w:styleId="style34" w:type="paragraph">
    <w:name w:val="Elenco"/>
    <w:basedOn w:val="style33"/>
    <w:next w:val="style34"/>
    <w:pPr/>
    <w:rPr>
      <w:rFonts w:cs="Mangal"/>
    </w:rPr>
  </w:style>
  <w:style w:styleId="style35" w:type="paragraph">
    <w:name w:val="Didascalia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Indice"/>
    <w:basedOn w:val="style0"/>
    <w:next w:val="style36"/>
    <w:pPr>
      <w:suppressLineNumbers/>
    </w:pPr>
    <w:rPr>
      <w:rFonts w:cs="Mangal"/>
    </w:rPr>
  </w:style>
  <w:style w:styleId="style37" w:type="paragraph">
    <w:name w:val="List Paragraph"/>
    <w:basedOn w:val="style0"/>
    <w:next w:val="style37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2020-05-05T17:15:00.00Z</dcterms:created>
  <dc:creator>utente</dc:creator>
  <cp:lastModifiedBy>utente</cp:lastModifiedBy>
  <dcterms:modified xsi:type="dcterms:W3CDTF">2023-05-05T19:34:00.00Z</dcterms:modified>
  <cp:revision>20</cp:revision>
</cp:coreProperties>
</file>