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FF6D1" w14:textId="77777777" w:rsidR="005B58A8" w:rsidRDefault="005B58A8" w:rsidP="005B58A8"/>
    <w:p w14:paraId="4F6C8904" w14:textId="015901A0" w:rsidR="005B58A8" w:rsidRPr="00CC5251" w:rsidRDefault="005B58A8" w:rsidP="005B58A8">
      <w:pPr>
        <w:pStyle w:val="Titolo4"/>
        <w:rPr>
          <w:b/>
          <w:sz w:val="22"/>
          <w:szCs w:val="22"/>
        </w:rPr>
      </w:pPr>
      <w:r w:rsidRPr="00CC5251">
        <w:rPr>
          <w:b/>
          <w:sz w:val="22"/>
          <w:szCs w:val="22"/>
        </w:rPr>
        <w:t>DOCENTE</w:t>
      </w:r>
      <w:r>
        <w:rPr>
          <w:b/>
          <w:sz w:val="22"/>
          <w:szCs w:val="22"/>
        </w:rPr>
        <w:t>:</w:t>
      </w:r>
      <w:r w:rsidRPr="00CC5251">
        <w:rPr>
          <w:b/>
          <w:sz w:val="22"/>
          <w:szCs w:val="22"/>
        </w:rPr>
        <w:t xml:space="preserve"> Sacco Antonella</w:t>
      </w:r>
      <w:r w:rsidRPr="00CC525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CC5251">
        <w:rPr>
          <w:b/>
          <w:sz w:val="22"/>
          <w:szCs w:val="22"/>
        </w:rPr>
        <w:t>DISCIPLINA</w:t>
      </w:r>
      <w:r>
        <w:rPr>
          <w:b/>
          <w:sz w:val="22"/>
          <w:szCs w:val="22"/>
        </w:rPr>
        <w:t>: Italiano  CLASSE</w:t>
      </w:r>
      <w:r w:rsidR="00F86F18">
        <w:rPr>
          <w:b/>
          <w:sz w:val="22"/>
          <w:szCs w:val="22"/>
        </w:rPr>
        <w:t>:</w:t>
      </w:r>
      <w:bookmarkStart w:id="0" w:name="_GoBack"/>
      <w:bookmarkEnd w:id="0"/>
      <w:r>
        <w:rPr>
          <w:b/>
          <w:sz w:val="22"/>
          <w:szCs w:val="22"/>
        </w:rPr>
        <w:t xml:space="preserve"> 4Bp  A.S. 2022/2023</w:t>
      </w:r>
    </w:p>
    <w:p w14:paraId="11D1372C" w14:textId="77777777" w:rsidR="005B58A8" w:rsidRPr="00CC5251" w:rsidRDefault="005B58A8" w:rsidP="005B58A8">
      <w:pPr>
        <w:rPr>
          <w:sz w:val="22"/>
          <w:szCs w:val="22"/>
        </w:rPr>
      </w:pPr>
    </w:p>
    <w:p w14:paraId="223E48DC" w14:textId="77777777" w:rsidR="005B58A8" w:rsidRPr="00CC5251" w:rsidRDefault="005B58A8" w:rsidP="005B58A8">
      <w:pPr>
        <w:jc w:val="center"/>
        <w:rPr>
          <w:b/>
          <w:sz w:val="22"/>
          <w:szCs w:val="22"/>
          <w:u w:val="single"/>
        </w:rPr>
      </w:pPr>
      <w:r w:rsidRPr="00CC5251">
        <w:rPr>
          <w:b/>
          <w:sz w:val="22"/>
          <w:szCs w:val="22"/>
          <w:u w:val="single"/>
        </w:rPr>
        <w:t>PROGRAMMA ED ARGOMENTI TRATTATI</w:t>
      </w:r>
    </w:p>
    <w:p w14:paraId="4A7DEA66" w14:textId="77777777" w:rsidR="005B58A8" w:rsidRDefault="005B58A8" w:rsidP="005B58A8">
      <w:pPr>
        <w:rPr>
          <w:sz w:val="22"/>
          <w:szCs w:val="22"/>
          <w:u w:val="single"/>
        </w:rPr>
      </w:pPr>
    </w:p>
    <w:p w14:paraId="5B963A06" w14:textId="77777777" w:rsidR="005B58A8" w:rsidRPr="00CC5251" w:rsidRDefault="005B58A8" w:rsidP="005B58A8">
      <w:pPr>
        <w:rPr>
          <w:b/>
          <w:sz w:val="22"/>
          <w:szCs w:val="22"/>
        </w:rPr>
      </w:pPr>
      <w:r w:rsidRPr="00CC5251">
        <w:rPr>
          <w:b/>
          <w:sz w:val="22"/>
          <w:szCs w:val="22"/>
        </w:rPr>
        <w:t xml:space="preserve">Libro di testo: M. </w:t>
      </w:r>
      <w:proofErr w:type="spellStart"/>
      <w:r w:rsidRPr="00CC5251">
        <w:rPr>
          <w:b/>
          <w:sz w:val="22"/>
          <w:szCs w:val="22"/>
        </w:rPr>
        <w:t>Sambugar</w:t>
      </w:r>
      <w:proofErr w:type="spellEnd"/>
      <w:r w:rsidRPr="00CC5251">
        <w:rPr>
          <w:b/>
          <w:sz w:val="22"/>
          <w:szCs w:val="22"/>
        </w:rPr>
        <w:t xml:space="preserve">, G. </w:t>
      </w:r>
      <w:proofErr w:type="spellStart"/>
      <w:r w:rsidRPr="00CC5251">
        <w:rPr>
          <w:b/>
          <w:sz w:val="22"/>
          <w:szCs w:val="22"/>
        </w:rPr>
        <w:t>Salà</w:t>
      </w:r>
      <w:proofErr w:type="spellEnd"/>
      <w:r w:rsidRPr="00CC5251">
        <w:rPr>
          <w:b/>
          <w:sz w:val="22"/>
          <w:szCs w:val="22"/>
        </w:rPr>
        <w:t xml:space="preserve">,  Laboratorio di Letteratura </w:t>
      </w:r>
      <w:r>
        <w:rPr>
          <w:b/>
          <w:sz w:val="22"/>
          <w:szCs w:val="22"/>
        </w:rPr>
        <w:t xml:space="preserve"> </w:t>
      </w:r>
      <w:r w:rsidRPr="00CC5251">
        <w:rPr>
          <w:b/>
          <w:sz w:val="22"/>
          <w:szCs w:val="22"/>
        </w:rPr>
        <w:t xml:space="preserve">vol. 2 </w:t>
      </w:r>
      <w:r>
        <w:rPr>
          <w:b/>
          <w:sz w:val="22"/>
          <w:szCs w:val="22"/>
        </w:rPr>
        <w:t xml:space="preserve"> </w:t>
      </w:r>
      <w:r w:rsidRPr="00CC5251">
        <w:rPr>
          <w:b/>
          <w:sz w:val="22"/>
          <w:szCs w:val="22"/>
        </w:rPr>
        <w:t>La Nuova Italia</w:t>
      </w:r>
    </w:p>
    <w:p w14:paraId="2D3CD265" w14:textId="77777777" w:rsidR="005B58A8" w:rsidRDefault="005B58A8" w:rsidP="005B58A8">
      <w:pPr>
        <w:rPr>
          <w:sz w:val="28"/>
          <w:szCs w:val="28"/>
        </w:rPr>
      </w:pPr>
    </w:p>
    <w:p w14:paraId="11603AD8" w14:textId="77777777" w:rsidR="005B58A8" w:rsidRDefault="005B58A8" w:rsidP="005B58A8">
      <w:pPr>
        <w:pStyle w:val="Textbody"/>
        <w:spacing w:after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Il Seicento</w:t>
      </w:r>
    </w:p>
    <w:p w14:paraId="33BE3541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 w:rsidRPr="00C908F5"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</w:rPr>
        <w:t>contesto socio-economico</w:t>
      </w:r>
    </w:p>
    <w:p w14:paraId="230DCEB7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 w:rsidRPr="001C3009">
        <w:rPr>
          <w:rFonts w:ascii="Verdana" w:hAnsi="Verdana"/>
          <w:b/>
          <w:sz w:val="22"/>
          <w:szCs w:val="22"/>
        </w:rPr>
        <w:t>Il Barocco.</w:t>
      </w:r>
      <w:r w:rsidRPr="00C908F5">
        <w:rPr>
          <w:rFonts w:ascii="Verdana" w:hAnsi="Verdana"/>
          <w:sz w:val="22"/>
          <w:szCs w:val="22"/>
        </w:rPr>
        <w:t xml:space="preserve"> </w:t>
      </w:r>
      <w:r w:rsidRPr="00072DD4">
        <w:rPr>
          <w:rFonts w:ascii="Verdana" w:hAnsi="Verdana"/>
          <w:sz w:val="22"/>
          <w:szCs w:val="22"/>
        </w:rPr>
        <w:t>Un secolo di luci e ombre</w:t>
      </w:r>
    </w:p>
    <w:p w14:paraId="63BFFC9F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clima controriformistico</w:t>
      </w:r>
    </w:p>
    <w:p w14:paraId="574B5E2A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“nuova scienza” in Europa</w:t>
      </w:r>
    </w:p>
    <w:p w14:paraId="01685B83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Barocco (schema riassuntivo a p. 11)</w:t>
      </w:r>
    </w:p>
    <w:p w14:paraId="1B8B536F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l</w:t>
      </w:r>
      <w:r w:rsidRPr="00C908F5">
        <w:rPr>
          <w:rFonts w:ascii="Verdana" w:hAnsi="Verdana"/>
          <w:sz w:val="22"/>
          <w:szCs w:val="22"/>
        </w:rPr>
        <w:t>etteratura</w:t>
      </w:r>
      <w:r>
        <w:rPr>
          <w:rFonts w:ascii="Verdana" w:hAnsi="Verdana"/>
          <w:sz w:val="22"/>
          <w:szCs w:val="22"/>
        </w:rPr>
        <w:t>. L’affermazione del Barocco</w:t>
      </w:r>
    </w:p>
    <w:p w14:paraId="4B0C8E8F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lirica barocca (mappa concettuale a p. 13)</w:t>
      </w:r>
    </w:p>
    <w:p w14:paraId="3BC5E2FF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lirica barocca in Italia</w:t>
      </w:r>
    </w:p>
    <w:p w14:paraId="31A2271B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poesia del Seicento (mappa concettuale a p. 15) </w:t>
      </w:r>
    </w:p>
    <w:p w14:paraId="34C301D0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prosa. La prosa scientifica (definizione)</w:t>
      </w:r>
    </w:p>
    <w:p w14:paraId="38295B95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teatro</w:t>
      </w:r>
      <w:r>
        <w:rPr>
          <w:rFonts w:ascii="Verdana" w:hAnsi="Verdana"/>
          <w:sz w:val="22"/>
          <w:szCs w:val="22"/>
        </w:rPr>
        <w:t>: la ricercatezza esasperata tipica dell’età barocca.</w:t>
      </w:r>
    </w:p>
    <w:p w14:paraId="25AB46DC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Pr="00072DD4">
        <w:rPr>
          <w:rFonts w:ascii="Verdana" w:hAnsi="Verdana"/>
          <w:sz w:val="22"/>
          <w:szCs w:val="22"/>
        </w:rPr>
        <w:t xml:space="preserve">l teatro in </w:t>
      </w:r>
      <w:r>
        <w:rPr>
          <w:rFonts w:ascii="Verdana" w:hAnsi="Verdana"/>
          <w:sz w:val="22"/>
          <w:szCs w:val="22"/>
        </w:rPr>
        <w:t>Europa. Il teatro elisabettiano: i principali esponenti. Il teatro tragico francese. Il teatro comico di Molière</w:t>
      </w:r>
    </w:p>
    <w:p w14:paraId="36CA36B2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teatro in Italia: la commedia dell’arte</w:t>
      </w:r>
    </w:p>
    <w:p w14:paraId="06A11D2A" w14:textId="77777777" w:rsidR="005B58A8" w:rsidRDefault="005B58A8" w:rsidP="005B58A8">
      <w:pPr>
        <w:pStyle w:val="Textbody"/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Seicento. Le innovazioni scientifiche e tecnologiche</w:t>
      </w:r>
    </w:p>
    <w:p w14:paraId="6DE88735" w14:textId="77777777" w:rsidR="005B58A8" w:rsidRPr="002C7C78" w:rsidRDefault="005B58A8" w:rsidP="005B58A8">
      <w:pPr>
        <w:pStyle w:val="Textbody"/>
        <w:spacing w:after="0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La poesia, la prosa e il teatro d</w:t>
      </w:r>
      <w:r>
        <w:rPr>
          <w:rFonts w:ascii="Verdana" w:hAnsi="Verdana"/>
          <w:b/>
          <w:bCs/>
          <w:sz w:val="22"/>
          <w:szCs w:val="22"/>
        </w:rPr>
        <w:t>el S</w:t>
      </w:r>
      <w:r w:rsidRPr="00072DD4">
        <w:rPr>
          <w:rFonts w:ascii="Verdana" w:hAnsi="Verdana"/>
          <w:b/>
          <w:bCs/>
          <w:sz w:val="22"/>
          <w:szCs w:val="22"/>
        </w:rPr>
        <w:t>eicento</w:t>
      </w:r>
    </w:p>
    <w:p w14:paraId="0C97E9E1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W. Shakespeare</w:t>
      </w:r>
      <w:r>
        <w:rPr>
          <w:rFonts w:ascii="Verdana" w:hAnsi="Verdana"/>
          <w:sz w:val="22"/>
          <w:szCs w:val="22"/>
        </w:rPr>
        <w:t>: la vita e la produzione teatrale</w:t>
      </w:r>
    </w:p>
    <w:p w14:paraId="3AF40653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“Romeo e Giulietta”. La genesi e il tema. La trama</w:t>
      </w:r>
    </w:p>
    <w:p w14:paraId="3EA370B9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</w:t>
      </w:r>
      <w:r w:rsidRPr="00704811">
        <w:rPr>
          <w:rFonts w:ascii="Verdana" w:hAnsi="Verdana"/>
          <w:iCs/>
          <w:sz w:val="22"/>
          <w:szCs w:val="22"/>
        </w:rPr>
        <w:t>Giulietta al balcone</w:t>
      </w:r>
      <w:r>
        <w:rPr>
          <w:rFonts w:ascii="Verdana" w:hAnsi="Verdana"/>
          <w:iCs/>
          <w:sz w:val="22"/>
          <w:szCs w:val="22"/>
        </w:rPr>
        <w:t>” (per lavorare sul testo a p. 45)</w:t>
      </w:r>
    </w:p>
    <w:p w14:paraId="1F28497E" w14:textId="77777777" w:rsidR="005B58A8" w:rsidRPr="00072DD4" w:rsidRDefault="005B58A8" w:rsidP="005B58A8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La poesia barocca in Italia</w:t>
      </w:r>
    </w:p>
    <w:p w14:paraId="679829E8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CA79B7">
        <w:rPr>
          <w:rFonts w:ascii="Verdana" w:hAnsi="Verdana"/>
          <w:sz w:val="22"/>
          <w:szCs w:val="22"/>
        </w:rPr>
        <w:t>G. Marino e i marinisti</w:t>
      </w:r>
    </w:p>
    <w:p w14:paraId="538C9FE4" w14:textId="77777777" w:rsidR="005B58A8" w:rsidRPr="00072DD4" w:rsidRDefault="005B58A8" w:rsidP="005B58A8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Galileo Galilei</w:t>
      </w:r>
    </w:p>
    <w:p w14:paraId="54DEDC45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vita</w:t>
      </w:r>
      <w:r>
        <w:rPr>
          <w:rFonts w:ascii="Verdana" w:hAnsi="Verdana"/>
          <w:sz w:val="22"/>
          <w:szCs w:val="22"/>
        </w:rPr>
        <w:t xml:space="preserve">. Le </w:t>
      </w:r>
      <w:r w:rsidRPr="00072DD4">
        <w:rPr>
          <w:rFonts w:ascii="Verdana" w:hAnsi="Verdana"/>
          <w:sz w:val="22"/>
          <w:szCs w:val="22"/>
        </w:rPr>
        <w:t>opere</w:t>
      </w:r>
    </w:p>
    <w:p w14:paraId="04B5393B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pensiero e la poetica</w:t>
      </w:r>
    </w:p>
    <w:p w14:paraId="37615112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metodo galileiano</w:t>
      </w:r>
    </w:p>
    <w:p w14:paraId="2B6FE1B4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nuova prosa scientifica</w:t>
      </w:r>
      <w:r>
        <w:rPr>
          <w:rFonts w:ascii="Verdana" w:hAnsi="Verdana"/>
          <w:sz w:val="22"/>
          <w:szCs w:val="22"/>
        </w:rPr>
        <w:t>-letteraria</w:t>
      </w:r>
    </w:p>
    <w:p w14:paraId="7E3278C6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r w:rsidRPr="00072DD4">
        <w:rPr>
          <w:rFonts w:ascii="Verdana" w:hAnsi="Verdana"/>
          <w:sz w:val="22"/>
          <w:szCs w:val="22"/>
        </w:rPr>
        <w:t xml:space="preserve">Dialogo sopra i </w:t>
      </w:r>
      <w:r>
        <w:rPr>
          <w:rFonts w:ascii="Verdana" w:hAnsi="Verdana"/>
          <w:sz w:val="22"/>
          <w:szCs w:val="22"/>
        </w:rPr>
        <w:t xml:space="preserve">due </w:t>
      </w:r>
      <w:r w:rsidRPr="00072DD4">
        <w:rPr>
          <w:rFonts w:ascii="Verdana" w:hAnsi="Verdana"/>
          <w:sz w:val="22"/>
          <w:szCs w:val="22"/>
        </w:rPr>
        <w:t>massim</w:t>
      </w:r>
      <w:r>
        <w:rPr>
          <w:rFonts w:ascii="Verdana" w:hAnsi="Verdana"/>
          <w:sz w:val="22"/>
          <w:szCs w:val="22"/>
        </w:rPr>
        <w:t>i sistemi del mondo”: la struttura e i personaggi, i contenuti del Dialogo</w:t>
      </w:r>
    </w:p>
    <w:p w14:paraId="71504195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L’Illuminismo</w:t>
      </w:r>
      <w:r>
        <w:rPr>
          <w:rFonts w:ascii="Verdana" w:hAnsi="Verdana"/>
          <w:b/>
          <w:bCs/>
          <w:sz w:val="22"/>
          <w:szCs w:val="22"/>
        </w:rPr>
        <w:t>, il Neoclassicismo e il Preromanticismo</w:t>
      </w:r>
    </w:p>
    <w:p w14:paraId="2EF0E27F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Il Settecento</w:t>
      </w:r>
    </w:p>
    <w:p w14:paraId="6A2DF53B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</w:t>
      </w:r>
      <w:r w:rsidRPr="00072DD4">
        <w:rPr>
          <w:rFonts w:ascii="Verdana" w:hAnsi="Verdana"/>
          <w:sz w:val="22"/>
          <w:szCs w:val="22"/>
        </w:rPr>
        <w:t>contesto socio-</w:t>
      </w:r>
      <w:r>
        <w:rPr>
          <w:rFonts w:ascii="Verdana" w:hAnsi="Verdana"/>
          <w:sz w:val="22"/>
          <w:szCs w:val="22"/>
        </w:rPr>
        <w:t>economico</w:t>
      </w:r>
    </w:p>
    <w:p w14:paraId="0025C323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cultura. L’uomo al centro del mondo</w:t>
      </w:r>
    </w:p>
    <w:p w14:paraId="43BBBC01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L’I</w:t>
      </w:r>
      <w:r w:rsidRPr="00072DD4">
        <w:rPr>
          <w:rFonts w:ascii="Verdana" w:hAnsi="Verdana"/>
          <w:sz w:val="22"/>
          <w:szCs w:val="22"/>
        </w:rPr>
        <w:t>lluminismo in Europa</w:t>
      </w:r>
    </w:p>
    <w:p w14:paraId="1428453D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novità del pensiero illuministico</w:t>
      </w:r>
    </w:p>
    <w:p w14:paraId="67F4F2F9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La diffusione dell’Illuminismo</w:t>
      </w:r>
    </w:p>
    <w:p w14:paraId="3B1A350A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Illuminismo e religione: i rapporti con la Chiesa, la lotta contro la superstizione e il fanatismo</w:t>
      </w:r>
    </w:p>
    <w:p w14:paraId="7771A0C3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Illuminismo e pensiero politico (mappa a p.165)</w:t>
      </w:r>
    </w:p>
    <w:p w14:paraId="5D315AC4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L’I</w:t>
      </w:r>
      <w:r w:rsidRPr="00072DD4">
        <w:rPr>
          <w:rFonts w:ascii="Verdana" w:hAnsi="Verdana"/>
          <w:sz w:val="22"/>
          <w:szCs w:val="22"/>
        </w:rPr>
        <w:t>lluminismo in Italia</w:t>
      </w:r>
      <w:r>
        <w:rPr>
          <w:rFonts w:ascii="Verdana" w:hAnsi="Verdana"/>
          <w:sz w:val="22"/>
          <w:szCs w:val="22"/>
        </w:rPr>
        <w:t>. L’Illuminismo lombardo</w:t>
      </w:r>
    </w:p>
    <w:p w14:paraId="4973E9D8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narrativa illuministica in Europa: il romanzo</w:t>
      </w:r>
    </w:p>
    <w:p w14:paraId="7EDED8BC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L’affermazione del romanzo.</w:t>
      </w:r>
    </w:p>
    <w:p w14:paraId="462D9943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Tipologie di romanzo</w:t>
      </w:r>
    </w:p>
    <w:p w14:paraId="5E5D67A5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teatro del Settecento</w:t>
      </w:r>
    </w:p>
    <w:p w14:paraId="405E09A5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teatro in Francia</w:t>
      </w:r>
    </w:p>
    <w:p w14:paraId="72A4DD93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teatro in Italia</w:t>
      </w:r>
    </w:p>
    <w:p w14:paraId="39D53A0D" w14:textId="77777777" w:rsidR="005B58A8" w:rsidRPr="00072DD4" w:rsidRDefault="005B58A8" w:rsidP="005B58A8">
      <w:pPr>
        <w:pStyle w:val="Standard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</w:t>
      </w:r>
      <w:r w:rsidRPr="00072DD4">
        <w:rPr>
          <w:rFonts w:ascii="Verdana" w:hAnsi="Verdana"/>
          <w:b/>
          <w:bCs/>
          <w:sz w:val="22"/>
          <w:szCs w:val="22"/>
        </w:rPr>
        <w:t xml:space="preserve">a </w:t>
      </w:r>
      <w:r>
        <w:rPr>
          <w:rFonts w:ascii="Verdana" w:hAnsi="Verdana"/>
          <w:b/>
          <w:bCs/>
          <w:sz w:val="22"/>
          <w:szCs w:val="22"/>
        </w:rPr>
        <w:t xml:space="preserve">saggistica e la </w:t>
      </w:r>
      <w:r w:rsidRPr="00072DD4">
        <w:rPr>
          <w:rFonts w:ascii="Verdana" w:hAnsi="Verdana"/>
          <w:b/>
          <w:bCs/>
          <w:sz w:val="22"/>
          <w:szCs w:val="22"/>
        </w:rPr>
        <w:t>narrativa del Settecento</w:t>
      </w:r>
    </w:p>
    <w:p w14:paraId="4420E30F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prosa politica e divulgativa</w:t>
      </w:r>
    </w:p>
    <w:p w14:paraId="3CB3843A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romanzo nella stagione illuministica</w:t>
      </w:r>
    </w:p>
    <w:p w14:paraId="4DE46D60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 Defoe “Robinson Crusoe”</w:t>
      </w:r>
    </w:p>
    <w:p w14:paraId="4F44E094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trama. La genesi del Robinson. Il genere. I temi e le novità.</w:t>
      </w:r>
    </w:p>
    <w:p w14:paraId="20686C67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“Il primo pane di Robinson” (analisi del testo)</w:t>
      </w:r>
    </w:p>
    <w:p w14:paraId="61136EB4" w14:textId="77777777" w:rsidR="005B58A8" w:rsidRPr="00072DD4" w:rsidRDefault="005B58A8" w:rsidP="005B58A8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La prosa, la poesi</w:t>
      </w:r>
      <w:r>
        <w:rPr>
          <w:rFonts w:ascii="Verdana" w:hAnsi="Verdana"/>
          <w:b/>
          <w:bCs/>
          <w:sz w:val="22"/>
          <w:szCs w:val="22"/>
        </w:rPr>
        <w:t>a e il teatro in Italia nel Settecento</w:t>
      </w:r>
    </w:p>
    <w:p w14:paraId="418ACD93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prosa del Settecento: caratteristiche generali</w:t>
      </w:r>
    </w:p>
    <w:p w14:paraId="04FD669C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Pietro Verri, Il Caffè, Nasce un nuovo giornale (in sintesi)</w:t>
      </w:r>
    </w:p>
    <w:p w14:paraId="085618DC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Cesare Beccaria, </w:t>
      </w:r>
      <w:r w:rsidRPr="00072DD4">
        <w:rPr>
          <w:rFonts w:ascii="Verdana" w:hAnsi="Verdana"/>
          <w:sz w:val="22"/>
          <w:szCs w:val="22"/>
        </w:rPr>
        <w:t>Dei delitti e delle pene</w:t>
      </w:r>
      <w:r>
        <w:rPr>
          <w:rFonts w:ascii="Verdana" w:hAnsi="Verdana"/>
          <w:sz w:val="22"/>
          <w:szCs w:val="22"/>
        </w:rPr>
        <w:t xml:space="preserve"> (in sintesi)</w:t>
      </w:r>
    </w:p>
    <w:p w14:paraId="6A046D83" w14:textId="77777777" w:rsidR="005B58A8" w:rsidRDefault="005B58A8" w:rsidP="005B58A8">
      <w:pPr>
        <w:pStyle w:val="Standar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Carlo Goldoni</w:t>
      </w:r>
    </w:p>
    <w:p w14:paraId="46EA2044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</w:t>
      </w:r>
      <w:r w:rsidRPr="00072DD4">
        <w:rPr>
          <w:rFonts w:ascii="Verdana" w:hAnsi="Verdana"/>
          <w:sz w:val="22"/>
          <w:szCs w:val="22"/>
        </w:rPr>
        <w:t xml:space="preserve">vita e </w:t>
      </w:r>
      <w:r>
        <w:rPr>
          <w:rFonts w:ascii="Verdana" w:hAnsi="Verdana"/>
          <w:sz w:val="22"/>
          <w:szCs w:val="22"/>
        </w:rPr>
        <w:t>le opere</w:t>
      </w:r>
    </w:p>
    <w:p w14:paraId="1EE4BD34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Le prime commedie</w:t>
      </w:r>
    </w:p>
    <w:p w14:paraId="483B27F7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Le commedie riformate</w:t>
      </w:r>
      <w:r>
        <w:rPr>
          <w:rFonts w:ascii="Verdana" w:hAnsi="Verdana"/>
          <w:sz w:val="22"/>
          <w:szCs w:val="22"/>
        </w:rPr>
        <w:t xml:space="preserve"> (mappa concettuale a p. 290)</w:t>
      </w:r>
    </w:p>
    <w:p w14:paraId="207911CA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pensiero e la poetica</w:t>
      </w:r>
    </w:p>
    <w:p w14:paraId="5FAC2ACD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riforma del teatro comico</w:t>
      </w:r>
    </w:p>
    <w:p w14:paraId="6AF2F20E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“La locandiera”</w:t>
      </w:r>
    </w:p>
    <w:p w14:paraId="053CFF65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Trama, struttura e temi, la protagonista, gli altri personaggi, una nuova commedia</w:t>
      </w:r>
    </w:p>
    <w:p w14:paraId="101E865C" w14:textId="77777777" w:rsidR="005B58A8" w:rsidRPr="0064616B" w:rsidRDefault="005B58A8" w:rsidP="005B58A8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</w:t>
      </w:r>
      <w:r w:rsidRPr="0099122C">
        <w:rPr>
          <w:rFonts w:ascii="Verdana" w:hAnsi="Verdana"/>
          <w:iCs/>
          <w:sz w:val="22"/>
          <w:szCs w:val="22"/>
        </w:rPr>
        <w:t>Le malizie di Mirandolina</w:t>
      </w:r>
      <w:r>
        <w:rPr>
          <w:rFonts w:ascii="Verdana" w:hAnsi="Verdana"/>
          <w:iCs/>
          <w:sz w:val="22"/>
          <w:szCs w:val="22"/>
        </w:rPr>
        <w:t>” (per lavorare sul testo)</w:t>
      </w:r>
    </w:p>
    <w:p w14:paraId="7E152187" w14:textId="77777777" w:rsidR="005B58A8" w:rsidRDefault="005B58A8" w:rsidP="005B58A8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</w:t>
      </w:r>
      <w:r w:rsidRPr="0099122C">
        <w:rPr>
          <w:rFonts w:ascii="Verdana" w:hAnsi="Verdana"/>
          <w:iCs/>
          <w:sz w:val="22"/>
          <w:szCs w:val="22"/>
        </w:rPr>
        <w:t>Il misogino sedotto</w:t>
      </w:r>
      <w:r>
        <w:rPr>
          <w:rFonts w:ascii="Verdana" w:hAnsi="Verdana"/>
          <w:iCs/>
          <w:sz w:val="22"/>
          <w:szCs w:val="22"/>
        </w:rPr>
        <w:t>” (per lavorare sul testo)</w:t>
      </w:r>
    </w:p>
    <w:p w14:paraId="0BB43B65" w14:textId="77777777" w:rsidR="005B58A8" w:rsidRPr="00E730C8" w:rsidRDefault="005B58A8" w:rsidP="005B58A8">
      <w:pPr>
        <w:pStyle w:val="Standard"/>
        <w:rPr>
          <w:rFonts w:ascii="Verdana" w:hAnsi="Verdana"/>
          <w:b/>
          <w:iCs/>
          <w:sz w:val="22"/>
          <w:szCs w:val="22"/>
        </w:rPr>
      </w:pPr>
      <w:r w:rsidRPr="00E730C8">
        <w:rPr>
          <w:rFonts w:ascii="Verdana" w:hAnsi="Verdana"/>
          <w:b/>
          <w:iCs/>
          <w:sz w:val="22"/>
          <w:szCs w:val="22"/>
        </w:rPr>
        <w:t>Il tema: Il cibo e l’alimentazione (approfondimento)</w:t>
      </w:r>
    </w:p>
    <w:p w14:paraId="1C575534" w14:textId="77777777" w:rsidR="005B58A8" w:rsidRDefault="005B58A8" w:rsidP="005B58A8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Dalla nascita della gastronomia alla cucina molecolare: l’arte culinaria, la nascita della gastronomia, la nascita del ristorante e del menù, la conservazione dei cibi, i cuochi, cibo e globalizzazione</w:t>
      </w:r>
    </w:p>
    <w:p w14:paraId="5D6C789E" w14:textId="77777777" w:rsidR="005B58A8" w:rsidRPr="00072DD4" w:rsidRDefault="005B58A8" w:rsidP="005B58A8">
      <w:pPr>
        <w:pStyle w:val="Standard"/>
        <w:rPr>
          <w:rFonts w:ascii="Verdana" w:hAnsi="Verdana"/>
          <w:b/>
          <w:sz w:val="22"/>
          <w:szCs w:val="22"/>
        </w:rPr>
      </w:pPr>
      <w:r w:rsidRPr="00072DD4">
        <w:rPr>
          <w:rFonts w:ascii="Verdana" w:hAnsi="Verdana"/>
          <w:b/>
          <w:sz w:val="22"/>
          <w:szCs w:val="22"/>
        </w:rPr>
        <w:t>Il Neoclassicismo</w:t>
      </w:r>
    </w:p>
    <w:p w14:paraId="255C1F3D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caratteri generali</w:t>
      </w:r>
    </w:p>
    <w:p w14:paraId="5A2738D5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“Le tre Grazie” di Antonio Canova</w:t>
      </w:r>
    </w:p>
    <w:p w14:paraId="2DBC1CC5" w14:textId="77777777" w:rsidR="005B58A8" w:rsidRPr="002C6952" w:rsidRDefault="005B58A8" w:rsidP="005B58A8">
      <w:pPr>
        <w:pStyle w:val="Standar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La poesia neoclassica del periodo napoleonico</w:t>
      </w:r>
    </w:p>
    <w:p w14:paraId="24A87FCB" w14:textId="77777777" w:rsidR="005B58A8" w:rsidRPr="008715F2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poesia del Settecento</w:t>
      </w:r>
    </w:p>
    <w:p w14:paraId="6F3B5A7F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b/>
          <w:sz w:val="22"/>
          <w:szCs w:val="22"/>
        </w:rPr>
        <w:t>G</w:t>
      </w:r>
      <w:r>
        <w:rPr>
          <w:rFonts w:ascii="Verdana" w:hAnsi="Verdana"/>
          <w:b/>
          <w:sz w:val="22"/>
          <w:szCs w:val="22"/>
        </w:rPr>
        <w:t xml:space="preserve">iuseppe </w:t>
      </w:r>
      <w:r w:rsidRPr="00072DD4">
        <w:rPr>
          <w:rFonts w:ascii="Verdana" w:hAnsi="Verdana"/>
          <w:b/>
          <w:sz w:val="22"/>
          <w:szCs w:val="22"/>
        </w:rPr>
        <w:t>Parini</w:t>
      </w:r>
    </w:p>
    <w:p w14:paraId="530BAC7A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Pr="00072DD4">
        <w:rPr>
          <w:rFonts w:ascii="Verdana" w:hAnsi="Verdana"/>
          <w:sz w:val="22"/>
          <w:szCs w:val="22"/>
        </w:rPr>
        <w:t>ita, opere e poetica</w:t>
      </w:r>
    </w:p>
    <w:p w14:paraId="01E4A55B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“Il Giorno”</w:t>
      </w:r>
      <w:r w:rsidRPr="00072DD4">
        <w:rPr>
          <w:rFonts w:ascii="Verdana" w:hAnsi="Verdana"/>
          <w:sz w:val="22"/>
          <w:szCs w:val="22"/>
        </w:rPr>
        <w:t>: caratt</w:t>
      </w:r>
      <w:r>
        <w:rPr>
          <w:rFonts w:ascii="Verdana" w:hAnsi="Verdana"/>
          <w:sz w:val="22"/>
          <w:szCs w:val="22"/>
        </w:rPr>
        <w:t>eristiche dell’opera</w:t>
      </w:r>
    </w:p>
    <w:p w14:paraId="3BA85027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 Il</w:t>
      </w:r>
      <w:r w:rsidRPr="00072DD4">
        <w:rPr>
          <w:rFonts w:ascii="Verdana" w:hAnsi="Verdana"/>
          <w:sz w:val="22"/>
          <w:szCs w:val="22"/>
        </w:rPr>
        <w:t xml:space="preserve"> Giorno</w:t>
      </w:r>
      <w:r>
        <w:rPr>
          <w:rFonts w:ascii="Verdana" w:hAnsi="Verdana"/>
          <w:sz w:val="22"/>
          <w:szCs w:val="22"/>
        </w:rPr>
        <w:t xml:space="preserve"> “Il risveglio del </w:t>
      </w:r>
      <w:proofErr w:type="spellStart"/>
      <w:r w:rsidRPr="004614BA">
        <w:rPr>
          <w:rFonts w:ascii="Verdana" w:hAnsi="Verdana"/>
          <w:i/>
          <w:sz w:val="22"/>
          <w:szCs w:val="22"/>
        </w:rPr>
        <w:t>giovin</w:t>
      </w:r>
      <w:proofErr w:type="spellEnd"/>
      <w:r w:rsidRPr="004614BA">
        <w:rPr>
          <w:rFonts w:ascii="Verdana" w:hAnsi="Verdana"/>
          <w:i/>
          <w:sz w:val="22"/>
          <w:szCs w:val="22"/>
        </w:rPr>
        <w:t xml:space="preserve"> signore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iCs/>
          <w:sz w:val="22"/>
          <w:szCs w:val="22"/>
        </w:rPr>
        <w:t>(per lavorare sul testo)</w:t>
      </w:r>
    </w:p>
    <w:p w14:paraId="4317B592" w14:textId="77777777" w:rsidR="005B58A8" w:rsidRPr="006A260F" w:rsidRDefault="005B58A8" w:rsidP="005B58A8">
      <w:pPr>
        <w:pStyle w:val="Standard"/>
        <w:rPr>
          <w:rFonts w:ascii="Verdana" w:hAnsi="Verdana"/>
          <w:iCs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</w:rPr>
        <w:t xml:space="preserve"> I</w:t>
      </w:r>
      <w:r w:rsidRPr="00072DD4">
        <w:rPr>
          <w:rFonts w:ascii="Verdana" w:hAnsi="Verdana"/>
          <w:sz w:val="22"/>
          <w:szCs w:val="22"/>
        </w:rPr>
        <w:t>l Giorno</w:t>
      </w:r>
      <w:r>
        <w:rPr>
          <w:rFonts w:ascii="Verdana" w:hAnsi="Verdana"/>
          <w:sz w:val="22"/>
          <w:szCs w:val="22"/>
        </w:rPr>
        <w:t xml:space="preserve"> “</w:t>
      </w:r>
      <w:r w:rsidRPr="0064616B">
        <w:rPr>
          <w:rFonts w:ascii="Verdana" w:hAnsi="Verdana"/>
          <w:iCs/>
          <w:sz w:val="22"/>
          <w:szCs w:val="22"/>
        </w:rPr>
        <w:t>La vergine cuccia</w:t>
      </w:r>
      <w:r>
        <w:rPr>
          <w:rFonts w:ascii="Verdana" w:hAnsi="Verdana"/>
          <w:iCs/>
          <w:sz w:val="22"/>
          <w:szCs w:val="22"/>
        </w:rPr>
        <w:t>” (per lavorare sul testo)</w:t>
      </w:r>
    </w:p>
    <w:p w14:paraId="7F9D84DE" w14:textId="77777777" w:rsidR="005B58A8" w:rsidRPr="00072DD4" w:rsidRDefault="005B58A8" w:rsidP="005B58A8">
      <w:pPr>
        <w:pStyle w:val="Standard"/>
        <w:rPr>
          <w:rFonts w:ascii="Verdana" w:hAnsi="Verdana"/>
          <w:b/>
          <w:sz w:val="22"/>
          <w:szCs w:val="22"/>
        </w:rPr>
      </w:pPr>
      <w:r w:rsidRPr="00072DD4">
        <w:rPr>
          <w:rFonts w:ascii="Verdana" w:hAnsi="Verdana"/>
          <w:b/>
          <w:sz w:val="22"/>
          <w:szCs w:val="22"/>
        </w:rPr>
        <w:t>Il Preromanticismo</w:t>
      </w:r>
    </w:p>
    <w:p w14:paraId="58FF28E4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nuova sensibilità preromantica</w:t>
      </w:r>
    </w:p>
    <w:p w14:paraId="4FD09090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lastRenderedPageBreak/>
        <w:t>La prosa tra Illuminismo e Preromanticismo</w:t>
      </w:r>
    </w:p>
    <w:p w14:paraId="0F46C712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romanzo in Italia</w:t>
      </w:r>
    </w:p>
    <w:p w14:paraId="294FC074" w14:textId="77777777" w:rsidR="005B58A8" w:rsidRPr="00E542B6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lirica in Italia (la poesia sepolcrale)</w:t>
      </w:r>
    </w:p>
    <w:p w14:paraId="7396DD7B" w14:textId="77777777" w:rsidR="005B58A8" w:rsidRPr="00072DD4" w:rsidRDefault="005B58A8" w:rsidP="005B58A8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072DD4">
        <w:rPr>
          <w:rFonts w:ascii="Verdana" w:hAnsi="Verdana"/>
          <w:b/>
          <w:bCs/>
          <w:sz w:val="22"/>
          <w:szCs w:val="22"/>
        </w:rPr>
        <w:t>Ugo Foscolo</w:t>
      </w:r>
    </w:p>
    <w:p w14:paraId="7DBBB27D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vita. Le opere</w:t>
      </w:r>
    </w:p>
    <w:p w14:paraId="24BB5A86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opere maggiori</w:t>
      </w:r>
    </w:p>
    <w:p w14:paraId="428C9CEC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Il pensiero e la p</w:t>
      </w:r>
      <w:r>
        <w:rPr>
          <w:rFonts w:ascii="Verdana" w:hAnsi="Verdana"/>
          <w:sz w:val="22"/>
          <w:szCs w:val="22"/>
        </w:rPr>
        <w:t>oetica</w:t>
      </w:r>
    </w:p>
    <w:p w14:paraId="276CE633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Idealismo, pessimismo e illusioni</w:t>
      </w:r>
    </w:p>
    <w:p w14:paraId="17C7EB8D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funzione della poesia</w:t>
      </w:r>
    </w:p>
    <w:p w14:paraId="6BA43C76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 Neoclassicismo e Preromanticismo</w:t>
      </w:r>
    </w:p>
    <w:p w14:paraId="16B07C92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“Poesie” (caratteristiche fondamentali della raccolta)</w:t>
      </w:r>
    </w:p>
    <w:p w14:paraId="0BA7B0B4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“Alla sera” (Tipologia A analisi di un testo poetico)</w:t>
      </w:r>
    </w:p>
    <w:p w14:paraId="3B329DB1" w14:textId="77777777" w:rsidR="005B58A8" w:rsidRDefault="005B58A8" w:rsidP="005B58A8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</w:t>
      </w:r>
      <w:r w:rsidRPr="00907745">
        <w:rPr>
          <w:rFonts w:ascii="Verdana" w:hAnsi="Verdana"/>
          <w:iCs/>
          <w:sz w:val="22"/>
          <w:szCs w:val="22"/>
        </w:rPr>
        <w:t xml:space="preserve">A </w:t>
      </w:r>
      <w:proofErr w:type="spellStart"/>
      <w:r w:rsidRPr="00907745">
        <w:rPr>
          <w:rFonts w:ascii="Verdana" w:hAnsi="Verdana"/>
          <w:iCs/>
          <w:sz w:val="22"/>
          <w:szCs w:val="22"/>
        </w:rPr>
        <w:t>Zacinto</w:t>
      </w:r>
      <w:proofErr w:type="spellEnd"/>
      <w:r>
        <w:rPr>
          <w:rFonts w:ascii="Verdana" w:hAnsi="Verdana"/>
          <w:iCs/>
          <w:sz w:val="22"/>
          <w:szCs w:val="22"/>
        </w:rPr>
        <w:t>” (per lavorare sul testo)</w:t>
      </w:r>
    </w:p>
    <w:p w14:paraId="1FD860E6" w14:textId="77777777" w:rsidR="005B58A8" w:rsidRDefault="005B58A8" w:rsidP="005B58A8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“Dei Sepolcri”. La genesi del carme, struttura e contenuti dell’opera</w:t>
      </w:r>
    </w:p>
    <w:p w14:paraId="4B0A29FA" w14:textId="77777777" w:rsidR="005B58A8" w:rsidRDefault="005B58A8" w:rsidP="005B58A8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“Il sepolcro come legame di affetti” (introduzione)</w:t>
      </w:r>
    </w:p>
    <w:p w14:paraId="5FF92E2A" w14:textId="77777777" w:rsidR="005B58A8" w:rsidRDefault="005B58A8" w:rsidP="005B58A8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“Il sepolcro ispiratore di </w:t>
      </w:r>
      <w:r w:rsidRPr="00A703C1">
        <w:rPr>
          <w:rFonts w:ascii="Verdana" w:hAnsi="Verdana"/>
          <w:i/>
          <w:iCs/>
          <w:sz w:val="22"/>
          <w:szCs w:val="22"/>
        </w:rPr>
        <w:t>egregie cose</w:t>
      </w:r>
      <w:r>
        <w:rPr>
          <w:rFonts w:ascii="Verdana" w:hAnsi="Verdana"/>
          <w:iCs/>
          <w:sz w:val="22"/>
          <w:szCs w:val="22"/>
        </w:rPr>
        <w:t>” (introduzione)</w:t>
      </w:r>
    </w:p>
    <w:p w14:paraId="756CF2FF" w14:textId="77777777" w:rsidR="005B58A8" w:rsidRDefault="005B58A8" w:rsidP="005B58A8">
      <w:pPr>
        <w:pStyle w:val="Standard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“Il sepolcro come fonte di poesia” (introduzione)</w:t>
      </w:r>
    </w:p>
    <w:p w14:paraId="6FB3167F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“Ultime lettere di Jacopo Ortis”.</w:t>
      </w:r>
    </w:p>
    <w:p w14:paraId="4472FBB3" w14:textId="77777777" w:rsidR="005B58A8" w:rsidRDefault="005B58A8" w:rsidP="005B58A8">
      <w:pPr>
        <w:pStyle w:val="Standard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L’Ottocento</w:t>
      </w:r>
    </w:p>
    <w:p w14:paraId="0A2EDBB8" w14:textId="77777777" w:rsidR="005B58A8" w:rsidRDefault="005B58A8" w:rsidP="005B58A8">
      <w:pPr>
        <w:pStyle w:val="Standard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Il Romanticismo</w:t>
      </w:r>
    </w:p>
    <w:p w14:paraId="42AFE594" w14:textId="77777777" w:rsidR="005B58A8" w:rsidRDefault="005B58A8" w:rsidP="005B58A8">
      <w:pPr>
        <w:pStyle w:val="Standard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Il contesto socio-economico</w:t>
      </w:r>
    </w:p>
    <w:p w14:paraId="71074065" w14:textId="77777777" w:rsidR="005B58A8" w:rsidRPr="009C4AEA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L’Ottocento: il secolo della borghesia</w:t>
      </w:r>
    </w:p>
    <w:p w14:paraId="3E3E5688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</w:t>
      </w:r>
      <w:r w:rsidRPr="00072DD4">
        <w:rPr>
          <w:rFonts w:ascii="Verdana" w:hAnsi="Verdana"/>
          <w:sz w:val="22"/>
          <w:szCs w:val="22"/>
        </w:rPr>
        <w:t>omanticismo</w:t>
      </w:r>
      <w:r>
        <w:rPr>
          <w:rFonts w:ascii="Verdana" w:hAnsi="Verdana"/>
          <w:sz w:val="22"/>
          <w:szCs w:val="22"/>
        </w:rPr>
        <w:t>. Una nuova sensibilità: il rifiuto della ragione</w:t>
      </w:r>
    </w:p>
    <w:p w14:paraId="788A7259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Gli intellettuali italiani</w:t>
      </w:r>
    </w:p>
    <w:p w14:paraId="7251C374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 scontro ideologico-politico. Il socialismo scientifico</w:t>
      </w:r>
    </w:p>
    <w:p w14:paraId="45C4348C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Gli ideologi del Risorgimento italiano</w:t>
      </w:r>
    </w:p>
    <w:p w14:paraId="1320BEFF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Verdi e il patriottismo risorgimentale (approfondimento)</w:t>
      </w:r>
    </w:p>
    <w:p w14:paraId="6A4BF1D5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caratteri del Romanticismo (tabella a p. 471)</w:t>
      </w:r>
    </w:p>
    <w:p w14:paraId="7E89773B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L’eroe romantico e il patriottismo</w:t>
      </w:r>
    </w:p>
    <w:p w14:paraId="7AB00020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poetica romantica</w:t>
      </w:r>
      <w:r>
        <w:rPr>
          <w:rFonts w:ascii="Verdana" w:hAnsi="Verdana"/>
          <w:sz w:val="22"/>
          <w:szCs w:val="22"/>
        </w:rPr>
        <w:t xml:space="preserve"> (schema riassuntivo)</w:t>
      </w:r>
    </w:p>
    <w:p w14:paraId="4D01C8D4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</w:t>
      </w:r>
      <w:r w:rsidRPr="00072DD4">
        <w:rPr>
          <w:rFonts w:ascii="Verdana" w:hAnsi="Verdana"/>
          <w:sz w:val="22"/>
          <w:szCs w:val="22"/>
        </w:rPr>
        <w:t>omanticismo in Italia</w:t>
      </w:r>
    </w:p>
    <w:p w14:paraId="58825AEF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Manzoni e Leopardi nella polemica classico-romantica</w:t>
      </w:r>
    </w:p>
    <w:p w14:paraId="1BE76E93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narrativa romantica: il modello scottiano, l’affermazione del romanzo storico con Manzoni</w:t>
      </w:r>
    </w:p>
    <w:p w14:paraId="1889B886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Romanticismo: schema riassuntivo (p. 482)</w:t>
      </w:r>
    </w:p>
    <w:p w14:paraId="7678AC37" w14:textId="77777777" w:rsidR="005B58A8" w:rsidRPr="00072DD4" w:rsidRDefault="005B58A8" w:rsidP="005B58A8">
      <w:pPr>
        <w:pStyle w:val="Standard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Alessandro Manzoni</w:t>
      </w:r>
    </w:p>
    <w:p w14:paraId="0E73BB63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 w:rsidRPr="00072DD4">
        <w:rPr>
          <w:rFonts w:ascii="Verdana" w:hAnsi="Verdana"/>
          <w:sz w:val="22"/>
          <w:szCs w:val="22"/>
        </w:rPr>
        <w:t>La vita</w:t>
      </w:r>
    </w:p>
    <w:p w14:paraId="08E86CC1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opere: la produzione teatrale (sintesi)</w:t>
      </w:r>
    </w:p>
    <w:p w14:paraId="57A0ECE5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“odi civili” (sintesi)</w:t>
      </w:r>
    </w:p>
    <w:p w14:paraId="53AD03A7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L’approdo al romanzo storico</w:t>
      </w:r>
    </w:p>
    <w:p w14:paraId="2F71FE2D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pensiero e la poetica</w:t>
      </w:r>
    </w:p>
    <w:p w14:paraId="4330DC63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L’elaborazione ideologica e insegnamento morale</w:t>
      </w:r>
    </w:p>
    <w:p w14:paraId="4483AC37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concezione della storia</w:t>
      </w:r>
    </w:p>
    <w:p w14:paraId="0A728330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“vero storico” e “vero poetico”</w:t>
      </w:r>
    </w:p>
    <w:p w14:paraId="661F8DAB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questione della lingua (in sintesi)</w:t>
      </w:r>
    </w:p>
    <w:p w14:paraId="638AD307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Promessi sposi</w:t>
      </w:r>
    </w:p>
    <w:p w14:paraId="5FCEA1B0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 Scott a Manzoni</w:t>
      </w:r>
    </w:p>
    <w:p w14:paraId="151DB73B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Le edizioni (mappa concettuale a p.631)</w:t>
      </w:r>
    </w:p>
    <w:p w14:paraId="300B0131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trama e la struttura</w:t>
      </w:r>
    </w:p>
    <w:p w14:paraId="31397577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personaggi</w:t>
      </w:r>
    </w:p>
    <w:p w14:paraId="045C26B5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L’ambientazione</w:t>
      </w:r>
    </w:p>
    <w:p w14:paraId="5E45A460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Dentro l’opera: i contenuti del romanzo capitolo per capitolo (lettura di approfondimento)</w:t>
      </w:r>
    </w:p>
    <w:p w14:paraId="30BFE0AD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tecnica narrativa</w:t>
      </w:r>
    </w:p>
    <w:p w14:paraId="4C1B129B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 stile</w:t>
      </w:r>
    </w:p>
    <w:p w14:paraId="45A5A245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“Don Abbondio incontra i bravi” (introduzione e per lavorare sul testo)</w:t>
      </w:r>
    </w:p>
    <w:p w14:paraId="7E4F025C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“La monaca di Monza” (introduzione e per lavorare sul testo)</w:t>
      </w:r>
    </w:p>
    <w:p w14:paraId="381A86B2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“L’innominato” (introduzione e per lavorare sul testo)</w:t>
      </w:r>
    </w:p>
    <w:p w14:paraId="6CAE3D7E" w14:textId="77777777" w:rsidR="005B58A8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“La morte di don Rodrigo” (introduzione e per lavorare sul testo)</w:t>
      </w:r>
    </w:p>
    <w:p w14:paraId="7379FB03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“Il sugo di tutta la storia” (introduzione e per lavorare sul testo)</w:t>
      </w:r>
    </w:p>
    <w:p w14:paraId="299FA631" w14:textId="77777777" w:rsidR="005B58A8" w:rsidRPr="00072DD4" w:rsidRDefault="005B58A8" w:rsidP="005B58A8">
      <w:pPr>
        <w:pStyle w:val="Standard"/>
        <w:rPr>
          <w:rFonts w:ascii="Verdana" w:hAnsi="Verdana"/>
          <w:sz w:val="22"/>
          <w:szCs w:val="22"/>
        </w:rPr>
      </w:pPr>
    </w:p>
    <w:p w14:paraId="6CB76244" w14:textId="77777777" w:rsidR="005B58A8" w:rsidRDefault="005B58A8" w:rsidP="005B58A8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cs="Calibri"/>
          <w:sz w:val="22"/>
          <w:szCs w:val="22"/>
        </w:rPr>
      </w:pPr>
      <w:r w:rsidRPr="001F260D">
        <w:rPr>
          <w:rFonts w:cs="Calibri"/>
          <w:sz w:val="22"/>
          <w:szCs w:val="22"/>
        </w:rPr>
        <w:t>Compet</w:t>
      </w:r>
      <w:r>
        <w:rPr>
          <w:rFonts w:cs="Calibri"/>
          <w:sz w:val="22"/>
          <w:szCs w:val="22"/>
        </w:rPr>
        <w:t>enze di scrittura:</w:t>
      </w:r>
    </w:p>
    <w:p w14:paraId="5241BAF2" w14:textId="77777777" w:rsidR="005B58A8" w:rsidRDefault="005B58A8" w:rsidP="005B58A8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Tipologia A</w:t>
      </w:r>
    </w:p>
    <w:p w14:paraId="3EADB3A6" w14:textId="77777777" w:rsidR="005B58A8" w:rsidRDefault="005B58A8" w:rsidP="005B58A8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Tipologia B</w:t>
      </w:r>
    </w:p>
    <w:p w14:paraId="28D1CA10" w14:textId="77777777" w:rsidR="005B58A8" w:rsidRPr="004818B7" w:rsidRDefault="005B58A8" w:rsidP="005B58A8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ind w:left="576" w:hanging="576"/>
        <w:outlineLvl w:val="1"/>
        <w:rPr>
          <w:rFonts w:eastAsia="Microsoft YaHei" w:cs="Calibri"/>
          <w:bCs/>
          <w:sz w:val="22"/>
          <w:szCs w:val="22"/>
          <w:lang w:eastAsia="zh-CN" w:bidi="hi-IN"/>
        </w:rPr>
      </w:pPr>
      <w:r>
        <w:rPr>
          <w:rFonts w:cs="Calibri"/>
          <w:sz w:val="22"/>
          <w:szCs w:val="22"/>
        </w:rPr>
        <w:t>Tipologia C</w:t>
      </w:r>
    </w:p>
    <w:p w14:paraId="13418ABA" w14:textId="77777777" w:rsidR="005B58A8" w:rsidRDefault="005B58A8" w:rsidP="005B58A8">
      <w:pPr>
        <w:rPr>
          <w:rFonts w:cs="Calibri"/>
          <w:sz w:val="22"/>
          <w:szCs w:val="22"/>
        </w:rPr>
      </w:pPr>
    </w:p>
    <w:p w14:paraId="5473BCEA" w14:textId="77777777" w:rsidR="005B58A8" w:rsidRPr="00844A9F" w:rsidRDefault="005B58A8" w:rsidP="005B58A8">
      <w:pPr>
        <w:rPr>
          <w:rFonts w:cs="Calibri"/>
          <w:sz w:val="22"/>
          <w:szCs w:val="22"/>
        </w:rPr>
      </w:pPr>
    </w:p>
    <w:p w14:paraId="77233173" w14:textId="77777777" w:rsidR="005B58A8" w:rsidRPr="001F260D" w:rsidRDefault="005B58A8" w:rsidP="005B58A8">
      <w:pPr>
        <w:rPr>
          <w:rFonts w:cs="Calibri"/>
          <w:sz w:val="22"/>
          <w:szCs w:val="22"/>
        </w:rPr>
      </w:pPr>
    </w:p>
    <w:p w14:paraId="1C2CFDD1" w14:textId="77777777" w:rsidR="005B58A8" w:rsidRPr="001F260D" w:rsidRDefault="005B58A8" w:rsidP="005B58A8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Bergamo,</w:t>
      </w:r>
    </w:p>
    <w:p w14:paraId="05120A47" w14:textId="77777777" w:rsidR="005B58A8" w:rsidRPr="001F260D" w:rsidRDefault="005B58A8" w:rsidP="005B58A8">
      <w:pPr>
        <w:rPr>
          <w:rFonts w:cs="Calibri"/>
        </w:rPr>
      </w:pPr>
    </w:p>
    <w:p w14:paraId="202106FC" w14:textId="77777777" w:rsidR="005B58A8" w:rsidRPr="001F260D" w:rsidRDefault="005B58A8" w:rsidP="005B58A8">
      <w:pPr>
        <w:rPr>
          <w:rFonts w:cs="Calibri"/>
        </w:rPr>
      </w:pPr>
    </w:p>
    <w:p w14:paraId="2E15A613" w14:textId="77777777" w:rsidR="005B58A8" w:rsidRDefault="005B58A8" w:rsidP="005B58A8">
      <w:pPr>
        <w:ind w:left="5664" w:hanging="5664"/>
        <w:rPr>
          <w:rFonts w:cs="Calibri"/>
        </w:rPr>
      </w:pPr>
      <w:r w:rsidRPr="001F260D">
        <w:rPr>
          <w:rFonts w:cs="Calibri"/>
        </w:rPr>
        <w:t>Firma de</w:t>
      </w:r>
      <w:r>
        <w:rPr>
          <w:rFonts w:cs="Calibri"/>
        </w:rPr>
        <w:t xml:space="preserve">l docente ____________________                            </w:t>
      </w:r>
      <w:r w:rsidRPr="001F260D">
        <w:rPr>
          <w:rFonts w:cs="Calibri"/>
        </w:rPr>
        <w:t xml:space="preserve">Firma degli </w:t>
      </w:r>
      <w:r>
        <w:rPr>
          <w:rFonts w:cs="Calibri"/>
        </w:rPr>
        <w:t xml:space="preserve">studenti </w:t>
      </w:r>
      <w:r>
        <w:rPr>
          <w:rFonts w:cs="Calibri"/>
        </w:rPr>
        <w:tab/>
      </w:r>
    </w:p>
    <w:p w14:paraId="0F90E70B" w14:textId="77777777" w:rsidR="005B58A8" w:rsidRPr="001F260D" w:rsidRDefault="005B58A8" w:rsidP="005B58A8">
      <w:pPr>
        <w:ind w:left="7080" w:firstLine="708"/>
        <w:rPr>
          <w:rFonts w:cs="Calibri"/>
        </w:rPr>
      </w:pPr>
      <w:r w:rsidRPr="001F260D">
        <w:rPr>
          <w:rFonts w:cs="Calibri"/>
        </w:rPr>
        <w:t xml:space="preserve"> ___________________</w:t>
      </w:r>
    </w:p>
    <w:p w14:paraId="44FC570E" w14:textId="77777777" w:rsidR="005B58A8" w:rsidRPr="001F260D" w:rsidRDefault="005B58A8" w:rsidP="005B58A8">
      <w:pPr>
        <w:rPr>
          <w:rFonts w:cs="Calibri"/>
          <w:sz w:val="24"/>
          <w:szCs w:val="24"/>
        </w:rPr>
      </w:pP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  <w:r w:rsidRPr="001F260D">
        <w:rPr>
          <w:rFonts w:cs="Calibri"/>
          <w:sz w:val="24"/>
          <w:szCs w:val="24"/>
        </w:rPr>
        <w:tab/>
      </w:r>
    </w:p>
    <w:p w14:paraId="1FA4878F" w14:textId="77777777" w:rsidR="005B58A8" w:rsidRPr="00550599" w:rsidRDefault="005B58A8" w:rsidP="005B58A8">
      <w:pPr>
        <w:ind w:left="7080"/>
        <w:rPr>
          <w:rFonts w:cs="Calibri"/>
          <w:sz w:val="24"/>
          <w:szCs w:val="24"/>
        </w:rPr>
      </w:pPr>
      <w:r w:rsidRPr="001F260D">
        <w:rPr>
          <w:rFonts w:cs="Calibri"/>
          <w:sz w:val="24"/>
          <w:szCs w:val="24"/>
        </w:rPr>
        <w:t>_____________</w:t>
      </w:r>
      <w:r>
        <w:rPr>
          <w:rFonts w:cs="Calibri"/>
          <w:sz w:val="24"/>
          <w:szCs w:val="24"/>
        </w:rPr>
        <w:t>___</w:t>
      </w:r>
    </w:p>
    <w:p w14:paraId="628866E8" w14:textId="77777777" w:rsidR="00D1625B" w:rsidRDefault="00D1625B" w:rsidP="00591F76">
      <w:pPr>
        <w:jc w:val="center"/>
      </w:pPr>
    </w:p>
    <w:sectPr w:rsidR="00D1625B" w:rsidSect="00A1094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69C43" w14:textId="77777777" w:rsidR="00795414" w:rsidRDefault="00795414" w:rsidP="00286586">
      <w:r>
        <w:separator/>
      </w:r>
    </w:p>
  </w:endnote>
  <w:endnote w:type="continuationSeparator" w:id="0">
    <w:p w14:paraId="418BA5F0" w14:textId="77777777" w:rsidR="00795414" w:rsidRDefault="00795414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86F1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86F1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D86B4" w14:textId="77777777" w:rsidR="00795414" w:rsidRDefault="00795414" w:rsidP="00286586">
      <w:r>
        <w:separator/>
      </w:r>
    </w:p>
  </w:footnote>
  <w:footnote w:type="continuationSeparator" w:id="0">
    <w:p w14:paraId="44FA5BB0" w14:textId="77777777" w:rsidR="00795414" w:rsidRDefault="00795414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D"/>
    <w:rsid w:val="000350C6"/>
    <w:rsid w:val="00041E42"/>
    <w:rsid w:val="000D779E"/>
    <w:rsid w:val="000E3072"/>
    <w:rsid w:val="001375F9"/>
    <w:rsid w:val="00140E84"/>
    <w:rsid w:val="00181565"/>
    <w:rsid w:val="00185D90"/>
    <w:rsid w:val="001C32DE"/>
    <w:rsid w:val="001F3D61"/>
    <w:rsid w:val="00283E08"/>
    <w:rsid w:val="00286586"/>
    <w:rsid w:val="00296FF3"/>
    <w:rsid w:val="0035344C"/>
    <w:rsid w:val="00385E1B"/>
    <w:rsid w:val="00415B8E"/>
    <w:rsid w:val="004A39D4"/>
    <w:rsid w:val="00511658"/>
    <w:rsid w:val="00591F76"/>
    <w:rsid w:val="005B58A8"/>
    <w:rsid w:val="005E4B99"/>
    <w:rsid w:val="00677E9B"/>
    <w:rsid w:val="00686F17"/>
    <w:rsid w:val="006D75D2"/>
    <w:rsid w:val="00795414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C3CC4"/>
    <w:rsid w:val="00BF080F"/>
    <w:rsid w:val="00C1461B"/>
    <w:rsid w:val="00C20A39"/>
    <w:rsid w:val="00CA3E18"/>
    <w:rsid w:val="00D1625B"/>
    <w:rsid w:val="00D201EE"/>
    <w:rsid w:val="00D41468"/>
    <w:rsid w:val="00D50A7C"/>
    <w:rsid w:val="00D73FAA"/>
    <w:rsid w:val="00DD4F29"/>
    <w:rsid w:val="00DE2703"/>
    <w:rsid w:val="00DF675D"/>
    <w:rsid w:val="00E03DB6"/>
    <w:rsid w:val="00EA03C0"/>
    <w:rsid w:val="00F86F18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8A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58A8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58A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58A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Windows User</cp:lastModifiedBy>
  <cp:revision>6</cp:revision>
  <cp:lastPrinted>2023-05-11T05:20:00Z</cp:lastPrinted>
  <dcterms:created xsi:type="dcterms:W3CDTF">2023-05-30T20:59:00Z</dcterms:created>
  <dcterms:modified xsi:type="dcterms:W3CDTF">2023-06-03T14:21:00Z</dcterms:modified>
</cp:coreProperties>
</file>