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widowControl w:val="false"/>
        <w:numPr>
          <w:ilvl w:val="0"/>
          <w:numId w:val="0"/>
        </w:numPr>
        <w:jc w:val="both"/>
        <w:outlineLvl w:val="3"/>
        <w:rPr>
          <w:rFonts w:cs="Arial"/>
          <w:b/>
        </w:rPr>
      </w:pPr>
      <w:r>
        <w:rPr>
          <w:rFonts w:cs="Arial"/>
          <w:b/>
        </w:rPr>
        <w:t>DOCENTE: Claudia Vinciguerra             DISCIPLINA: Inglese</w:t>
        <w:tab/>
        <w:t xml:space="preserve">           CLASSE: 1B</w:t>
      </w:r>
    </w:p>
    <w:p>
      <w:pPr>
        <w:pStyle w:val="Normal"/>
        <w:keepNext w:val="true"/>
        <w:widowControl w:val="false"/>
        <w:numPr>
          <w:ilvl w:val="0"/>
          <w:numId w:val="0"/>
        </w:numPr>
        <w:jc w:val="center"/>
        <w:outlineLvl w:val="3"/>
        <w:rPr>
          <w:rFonts w:cs="Arial"/>
          <w:b/>
        </w:rPr>
      </w:pPr>
      <w:r>
        <w:rPr>
          <w:rFonts w:cs="Arial"/>
          <w:b/>
        </w:rPr>
        <w:t>a.s. 2024/2025</w:t>
      </w:r>
    </w:p>
    <w:p>
      <w:pPr>
        <w:pStyle w:val="Normal"/>
        <w:rPr>
          <w:rFonts w:cs="Arial"/>
          <w:u w:val="single"/>
        </w:rPr>
      </w:pPr>
      <w:r>
        <w:rPr>
          <w:rFonts w:cs="Arial"/>
          <w:u w:val="single"/>
        </w:rPr>
      </w:r>
    </w:p>
    <w:p>
      <w:pPr>
        <w:pStyle w:val="Normal"/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PROGRAMMA ED ARGOMENTI TRATTATI</w:t>
      </w:r>
    </w:p>
    <w:p>
      <w:pPr>
        <w:pStyle w:val="Normal"/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</w:r>
    </w:p>
    <w:p>
      <w:pPr>
        <w:pStyle w:val="Normal"/>
        <w:rPr>
          <w:rFonts w:cs="Arial"/>
        </w:rPr>
      </w:pPr>
      <w:r>
        <w:rPr>
          <w:rFonts w:cs="Arial"/>
        </w:rPr>
        <w:t>Sono stati utilizzati i testi:</w:t>
      </w:r>
    </w:p>
    <w:p>
      <w:pPr>
        <w:pStyle w:val="ListParagraph"/>
        <w:numPr>
          <w:ilvl w:val="0"/>
          <w:numId w:val="1"/>
        </w:numPr>
        <w:rPr>
          <w:rFonts w:eastAsia="Verdana" w:cs="Verdana"/>
          <w:lang w:val="en-US" w:eastAsia="zh-CN"/>
        </w:rPr>
      </w:pPr>
      <w:r>
        <w:rPr>
          <w:rFonts w:cs="Verdana"/>
          <w:b/>
          <w:lang w:val="en-GB"/>
        </w:rPr>
        <w:t>IN TIME ESSENTIAL</w:t>
      </w:r>
      <w:r>
        <w:rPr>
          <w:rFonts w:cs="Verdana"/>
          <w:lang w:val="en-GB"/>
        </w:rPr>
        <w:t xml:space="preserve"> Ed. </w:t>
      </w:r>
      <w:r>
        <w:rPr>
          <w:rFonts w:cs="Verdana"/>
          <w:lang w:val="en-US"/>
        </w:rPr>
        <w:t>DEA Scuola – Black Cat</w:t>
      </w:r>
    </w:p>
    <w:p>
      <w:pPr>
        <w:pStyle w:val="ListParagraph"/>
        <w:numPr>
          <w:ilvl w:val="0"/>
          <w:numId w:val="1"/>
        </w:numPr>
        <w:rPr>
          <w:lang w:val="en-GB"/>
        </w:rPr>
      </w:pPr>
      <w:r>
        <w:rPr>
          <w:rFonts w:cs="Verdana"/>
          <w:b/>
          <w:lang w:val="en-US"/>
        </w:rPr>
        <w:t>Grammar Files</w:t>
      </w:r>
      <w:r>
        <w:rPr>
          <w:rFonts w:cs="Verdana"/>
          <w:lang w:val="en-US"/>
        </w:rPr>
        <w:t xml:space="preserve"> </w:t>
      </w:r>
      <w:r>
        <w:rPr>
          <w:rFonts w:cs="Verdana"/>
          <w:b/>
          <w:bCs/>
          <w:lang w:val="en-US"/>
        </w:rPr>
        <w:t>Green Edition</w:t>
      </w:r>
      <w:r>
        <w:rPr>
          <w:rFonts w:cs="Verdana"/>
          <w:lang w:val="en-US"/>
        </w:rPr>
        <w:t xml:space="preserve"> - Trinity Whitebridge</w:t>
      </w:r>
    </w:p>
    <w:p>
      <w:pPr>
        <w:pStyle w:val="Normal"/>
        <w:rPr>
          <w:rFonts w:cs="Arial"/>
          <w:lang w:val="en-GB"/>
        </w:rPr>
      </w:pPr>
      <w:r>
        <w:rPr>
          <w:rFonts w:cs="Arial"/>
          <w:lang w:val="en-GB"/>
        </w:rPr>
      </w:r>
    </w:p>
    <w:tbl>
      <w:tblPr>
        <w:tblW w:w="978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188"/>
        <w:gridCol w:w="4592"/>
      </w:tblGrid>
      <w:tr>
        <w:trPr/>
        <w:tc>
          <w:tcPr>
            <w:tcW w:w="5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lang w:eastAsia="en-US" w:bidi="en-US"/>
              </w:rPr>
            </w:pPr>
            <w:r>
              <w:rPr>
                <w:rFonts w:cs="Arial"/>
                <w:b/>
                <w:bCs/>
                <w:lang w:eastAsia="en-US" w:bidi="en-US"/>
              </w:rPr>
              <w:t>COMMUNICATION AND CULTURE</w:t>
            </w:r>
          </w:p>
        </w:tc>
        <w:tc>
          <w:tcPr>
            <w:tcW w:w="4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lang w:eastAsia="en-US" w:bidi="en-US"/>
              </w:rPr>
            </w:pPr>
            <w:r>
              <w:rPr>
                <w:rFonts w:cs="Arial"/>
                <w:b/>
                <w:bCs/>
                <w:lang w:eastAsia="en-US" w:bidi="en-US"/>
              </w:rPr>
              <w:t>GRAMMAR AND VOCABULARY</w:t>
            </w:r>
          </w:p>
        </w:tc>
      </w:tr>
      <w:tr>
        <w:trPr/>
        <w:tc>
          <w:tcPr>
            <w:tcW w:w="5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b/>
                <w:bCs/>
                <w:color w:val="000000"/>
                <w:lang w:val="en-GB"/>
              </w:rPr>
            </w:pPr>
            <w:r>
              <w:rPr>
                <w:b/>
                <w:bCs/>
                <w:color w:val="000000"/>
                <w:lang w:val="en-GB"/>
              </w:rPr>
              <w:t>Foundation A-F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lang w:val="en-GB"/>
              </w:rPr>
              <w:t>COMMUNICATION</w:t>
              <w:br/>
            </w:r>
            <w:r>
              <w:rPr>
                <w:rFonts w:cs="Arial"/>
                <w:lang w:val="en-GB"/>
              </w:rPr>
              <w:t xml:space="preserve">Exchanging personal information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Talking about jobs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Talking about family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Identifying objects and people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Talking about personal possessions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Describing objects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Asking who objects belong to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Talking about your favourite thing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Talking about houses and furniture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Indicating position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Describing your bedroom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Talking about your home</w:t>
            </w:r>
          </w:p>
          <w:p>
            <w:pPr>
              <w:pStyle w:val="Normal"/>
              <w:widowControl w:val="false"/>
              <w:snapToGrid w:val="false"/>
              <w:rPr>
                <w:b/>
                <w:bCs/>
                <w:color w:val="000000"/>
                <w:lang w:val="en-GB"/>
              </w:rPr>
            </w:pPr>
            <w:r>
              <w:rPr>
                <w:rFonts w:cs="Arial"/>
                <w:lang w:val="en-GB"/>
              </w:rPr>
              <w:t xml:space="preserve">Understanding and giving instructions and advice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Talking about the weather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Describing a place you know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Talking about ability and possibility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Asking for and giving permission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Telling the time </w:t>
            </w:r>
            <w:r>
              <w:rPr>
                <w:lang w:val="en-GB"/>
              </w:rPr>
              <w:br/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lang w:val="en-GB" w:eastAsia="en-US" w:bidi="en-US"/>
              </w:rPr>
            </w:pPr>
            <w:r>
              <w:rPr>
                <w:rFonts w:cs="Arial"/>
                <w:b/>
                <w:bCs/>
                <w:lang w:val="en-GB" w:eastAsia="en-US" w:bidi="en-US"/>
              </w:rPr>
            </w:r>
          </w:p>
        </w:tc>
        <w:tc>
          <w:tcPr>
            <w:tcW w:w="4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GRAMMAR</w:t>
            </w:r>
          </w:p>
          <w:p>
            <w:pPr>
              <w:pStyle w:val="Normal"/>
              <w:widowControl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Present simple: verb be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Possessive adjectives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Question words: Who, What, When, Where, How, How old, Whose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Plural nouns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this, that, these, those</w:t>
            </w:r>
          </w:p>
          <w:p>
            <w:pPr>
              <w:pStyle w:val="Normal"/>
              <w:widowControl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Present simple: verb have got</w:t>
            </w:r>
          </w:p>
          <w:p>
            <w:pPr>
              <w:pStyle w:val="Normal"/>
              <w:widowControl w:val="false"/>
              <w:rPr>
                <w:rFonts w:cs="Arial"/>
                <w:lang w:val="en-GB"/>
              </w:rPr>
            </w:pPr>
            <w:r>
              <w:rPr>
                <w:lang w:val="en-US"/>
              </w:rPr>
              <w:t>Idiomatic forms of to be and to have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Possessive ’s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Indefinite article: a/an and the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Possessive pronouns</w:t>
            </w:r>
          </w:p>
          <w:p>
            <w:pPr>
              <w:pStyle w:val="Normal"/>
              <w:widowControl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There is, there are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Some, any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Prepositions of place and time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Imperatives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Verb can: ability and possibility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Verb can: permission and requests</w:t>
            </w:r>
          </w:p>
          <w:p>
            <w:pPr>
              <w:pStyle w:val="Normal"/>
              <w:widowControl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VOCABULARY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Countries and nationalities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Jobs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Family</w:t>
            </w:r>
          </w:p>
          <w:p>
            <w:pPr>
              <w:pStyle w:val="Normal"/>
              <w:widowControl w:val="false"/>
              <w:rPr>
                <w:color w:val="000000"/>
                <w:lang w:val="en-GB"/>
              </w:rPr>
            </w:pPr>
            <w:r>
              <w:rPr>
                <w:rFonts w:cs="Arial"/>
                <w:lang w:val="en-GB"/>
              </w:rPr>
              <w:t xml:space="preserve">Personal possessions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Colours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Houses, rooms and furniture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Days of the week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Seasons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The weather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Abilities</w:t>
            </w:r>
          </w:p>
        </w:tc>
      </w:tr>
      <w:tr>
        <w:trPr/>
        <w:tc>
          <w:tcPr>
            <w:tcW w:w="5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1</w:t>
            </w:r>
          </w:p>
          <w:p>
            <w:pPr>
              <w:pStyle w:val="Normal"/>
              <w:widowControl w:val="false"/>
              <w:snapToGrid w:val="false"/>
              <w:rPr>
                <w:b/>
                <w:lang w:val="en-GB"/>
              </w:rPr>
            </w:pPr>
            <w:r>
              <w:rPr>
                <w:lang w:val="en-GB"/>
              </w:rPr>
              <w:t>COMMUNICATION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Talking about everyday and weekend activities Talking about frequency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Expressing likes and dislikes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Agreeing and disagreeing</w:t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CULTURE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Boarding school life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“A day in the life of a homeschooler”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lang w:val="en-GB" w:eastAsia="en-US" w:bidi="en-US"/>
              </w:rPr>
            </w:pPr>
            <w:r>
              <w:rPr>
                <w:rFonts w:cs="Arial"/>
                <w:lang w:val="en-GB"/>
              </w:rPr>
              <w:t>“</w:t>
            </w:r>
            <w:r>
              <w:rPr>
                <w:rFonts w:cs="Arial"/>
                <w:lang w:val="en-GB"/>
              </w:rPr>
              <w:t>Famous schools” (photocopy)</w:t>
            </w:r>
          </w:p>
        </w:tc>
        <w:tc>
          <w:tcPr>
            <w:tcW w:w="4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GRAMMAR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Present simple: positive and negative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Present simple: questions and short answers Adverbs and expressions of frequency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Object pronouns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Love, like, don’t mind, hate + -ing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VOCABULARY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lang w:val="en-GB" w:eastAsia="en-US" w:bidi="en-US"/>
              </w:rPr>
            </w:pPr>
            <w:r>
              <w:rPr>
                <w:rFonts w:cs="Arial"/>
                <w:lang w:val="en-GB"/>
              </w:rPr>
              <w:t xml:space="preserve">Everyday activities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Free-time activities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School subjects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Jobs at home</w:t>
            </w:r>
          </w:p>
        </w:tc>
      </w:tr>
      <w:tr>
        <w:trPr/>
        <w:tc>
          <w:tcPr>
            <w:tcW w:w="5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lang w:val="en-GB" w:eastAsia="en-US" w:bidi="en-US"/>
              </w:rPr>
            </w:pPr>
            <w:r>
              <w:rPr>
                <w:rFonts w:cs="Arial"/>
                <w:b/>
                <w:bCs/>
                <w:lang w:val="en-GB" w:eastAsia="en-US" w:bidi="en-US"/>
              </w:rPr>
              <w:t>UNIT 2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lang w:val="en-GB" w:eastAsia="en-US" w:bidi="en-US"/>
              </w:rPr>
            </w:pPr>
            <w:r>
              <w:rPr>
                <w:lang w:val="en-GB"/>
              </w:rPr>
              <w:t>COMMUNICATION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Talking about food, drink and diet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Expressing quantity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Giving instructions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Asking and saying prices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Ordering food</w:t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CULTURE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lang w:val="en-GB" w:eastAsia="en-US" w:bidi="en-US"/>
              </w:rPr>
            </w:pPr>
            <w:r>
              <w:rPr>
                <w:rFonts w:cs="Arial"/>
                <w:lang w:val="en-GB"/>
              </w:rPr>
              <w:t>“</w:t>
            </w:r>
            <w:r>
              <w:rPr>
                <w:rFonts w:cs="Arial"/>
                <w:lang w:val="en-GB"/>
              </w:rPr>
              <w:t xml:space="preserve">Super foodies”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“Gordon Ramsay”</w:t>
            </w:r>
          </w:p>
        </w:tc>
        <w:tc>
          <w:tcPr>
            <w:tcW w:w="4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GRAMMAR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Countable and uncountable nouns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How much...? How many...?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Some, any, no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A lot of/lots of, (not) much/many, little/a little, few/a few, none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Too much/too many, too little, (not) enough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 w:eastAsia="en-US" w:bidi="en-US"/>
              </w:rPr>
            </w:pPr>
            <w:r>
              <w:rPr>
                <w:rFonts w:cs="Arial"/>
                <w:lang w:val="en-GB" w:eastAsia="en-US" w:bidi="en-US"/>
              </w:rPr>
              <w:t>Would like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VOCABULARY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Portions and containers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Cooking</w:t>
            </w:r>
          </w:p>
        </w:tc>
      </w:tr>
      <w:tr>
        <w:trPr/>
        <w:tc>
          <w:tcPr>
            <w:tcW w:w="5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3</w:t>
            </w:r>
          </w:p>
          <w:p>
            <w:pPr>
              <w:pStyle w:val="Normal"/>
              <w:widowControl w:val="false"/>
              <w:snapToGrid w:val="false"/>
              <w:rPr>
                <w:b/>
                <w:lang w:val="en-GB"/>
              </w:rPr>
            </w:pPr>
            <w:r>
              <w:rPr>
                <w:lang w:val="en-GB"/>
              </w:rPr>
              <w:t>COMMUNICATION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Describing people: physical appearance and personality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Talking about actions in progress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Talking about future arrangements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Speaking on the phone</w:t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CULTURE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“</w:t>
            </w:r>
            <w:r>
              <w:rPr>
                <w:rFonts w:cs="Arial"/>
                <w:lang w:val="en-GB"/>
              </w:rPr>
              <w:t>Facing the future: facial recognition technology” “Are you easy to read? Features and personality”</w:t>
            </w:r>
          </w:p>
        </w:tc>
        <w:tc>
          <w:tcPr>
            <w:tcW w:w="4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GRAMMAR</w:t>
            </w:r>
          </w:p>
          <w:p>
            <w:pPr>
              <w:pStyle w:val="Normal"/>
              <w:widowControl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Look, look like, be like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Present continuous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Present simple vs Present continuous</w:t>
            </w:r>
          </w:p>
          <w:p>
            <w:pPr>
              <w:pStyle w:val="Normal"/>
              <w:widowControl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Present continuous: future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VOCABULARY</w:t>
            </w:r>
          </w:p>
          <w:p>
            <w:pPr>
              <w:pStyle w:val="Normal"/>
              <w:widowControl w:val="false"/>
              <w:rPr>
                <w:rFonts w:cs="Arial"/>
                <w:b/>
                <w:bCs/>
                <w:lang w:val="en-GB" w:eastAsia="en-US" w:bidi="en-US"/>
              </w:rPr>
            </w:pPr>
            <w:r>
              <w:rPr>
                <w:rFonts w:cs="Arial"/>
                <w:lang w:val="en-GB"/>
              </w:rPr>
              <w:t xml:space="preserve">Appearance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Personality</w:t>
            </w:r>
          </w:p>
        </w:tc>
      </w:tr>
      <w:tr>
        <w:trPr/>
        <w:tc>
          <w:tcPr>
            <w:tcW w:w="5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4</w:t>
            </w:r>
          </w:p>
          <w:p>
            <w:pPr>
              <w:pStyle w:val="Normal"/>
              <w:widowControl w:val="false"/>
              <w:snapToGrid w:val="false"/>
              <w:rPr>
                <w:b/>
                <w:lang w:val="en-GB"/>
              </w:rPr>
            </w:pPr>
            <w:r>
              <w:rPr>
                <w:lang w:val="en-GB"/>
              </w:rPr>
              <w:t>COMMUNICATION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Talking about the arts and entertainment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Talking about the past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Using past time expressions</w:t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CULTURE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lang w:val="en-GB" w:eastAsia="en-US" w:bidi="en-US"/>
              </w:rPr>
            </w:pPr>
            <w:r>
              <w:rPr>
                <w:rFonts w:cs="Arial"/>
                <w:lang w:val="en-GB"/>
              </w:rPr>
              <w:t>“</w:t>
            </w:r>
            <w:r>
              <w:rPr>
                <w:rFonts w:cs="Arial"/>
                <w:lang w:val="en-GB"/>
              </w:rPr>
              <w:t>Were they famous in their lifetime? A painter, a novelist and a poet”</w:t>
            </w:r>
          </w:p>
        </w:tc>
        <w:tc>
          <w:tcPr>
            <w:tcW w:w="4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GRAMMAR</w:t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Past simple verb to be, regular and irregular verbs all forms, defining relative clauses, Past time expressions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VOCABULARY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lang w:val="en-GB" w:eastAsia="en-US" w:bidi="en-US"/>
              </w:rPr>
            </w:pPr>
            <w:r>
              <w:rPr>
                <w:rFonts w:cs="Arial"/>
                <w:lang w:val="en-GB"/>
              </w:rPr>
              <w:t xml:space="preserve">The arts and entertainment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Adjectives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Words in context</w:t>
            </w:r>
          </w:p>
        </w:tc>
      </w:tr>
      <w:tr>
        <w:trPr/>
        <w:tc>
          <w:tcPr>
            <w:tcW w:w="5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lang w:val="en-GB"/>
              </w:rPr>
            </w:pPr>
            <w:r>
              <w:rPr>
                <w:b/>
                <w:lang w:val="en-GB"/>
              </w:rPr>
              <w:t>UNIT  5</w:t>
            </w:r>
          </w:p>
          <w:p>
            <w:pPr>
              <w:pStyle w:val="Normal"/>
              <w:widowControl w:val="false"/>
              <w:rPr>
                <w:lang w:val="en-GB"/>
              </w:rPr>
            </w:pPr>
            <w:r>
              <w:rPr>
                <w:lang w:val="en-GB"/>
              </w:rPr>
              <w:t>COMMUNICATION</w:t>
            </w:r>
          </w:p>
          <w:p>
            <w:pPr>
              <w:pStyle w:val="Normal"/>
              <w:widowControl w:val="false"/>
              <w:rPr>
                <w:lang w:val="en-GB"/>
              </w:rPr>
            </w:pPr>
            <w:r>
              <w:rPr>
                <w:rFonts w:cs="Arial"/>
                <w:lang w:val="en-GB"/>
              </w:rPr>
              <w:t>Talking about the past</w:t>
            </w:r>
          </w:p>
          <w:p>
            <w:pPr>
              <w:pStyle w:val="Normal"/>
              <w:widowControl w:val="false"/>
              <w:rPr>
                <w:lang w:val="en-GB"/>
              </w:rPr>
            </w:pPr>
            <w:r>
              <w:rPr>
                <w:rFonts w:cs="Arial"/>
                <w:lang w:val="en-GB"/>
              </w:rPr>
              <w:t xml:space="preserve">Talking about transport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Talking about places in town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Describing locations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Giving directions</w:t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CULTURE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“</w:t>
            </w:r>
            <w:r>
              <w:rPr>
                <w:rFonts w:cs="Arial"/>
                <w:lang w:val="en-GB"/>
              </w:rPr>
              <w:t>A race across Europe: charity race organised by university students”</w:t>
            </w:r>
          </w:p>
          <w:p>
            <w:pPr>
              <w:pStyle w:val="Normal"/>
              <w:widowControl w:val="false"/>
              <w:snapToGrid w:val="false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"Think before you leave"</w:t>
            </w:r>
          </w:p>
        </w:tc>
        <w:tc>
          <w:tcPr>
            <w:tcW w:w="4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lang w:val="en-US"/>
              </w:rPr>
            </w:pPr>
            <w:r>
              <w:rPr>
                <w:lang w:val="en-US"/>
              </w:rPr>
              <w:t>GRAMMAR</w:t>
            </w:r>
          </w:p>
          <w:p>
            <w:pPr>
              <w:pStyle w:val="Normal"/>
              <w:widowControl w:val="false"/>
              <w:rPr>
                <w:lang w:val="en-GB"/>
              </w:rPr>
            </w:pPr>
            <w:r>
              <w:rPr>
                <w:rFonts w:cs="Arial"/>
                <w:lang w:val="en-GB"/>
              </w:rPr>
              <w:t xml:space="preserve">Irregular verbs: past simple negative and questions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Prepositions of place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 xml:space="preserve">Prepositions of movement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Subject/object questions</w:t>
            </w:r>
          </w:p>
          <w:p>
            <w:pPr>
              <w:pStyle w:val="Normal"/>
              <w:widowControl w:val="false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How far, how long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VOCABULARY</w:t>
            </w:r>
          </w:p>
          <w:p>
            <w:pPr>
              <w:pStyle w:val="Normal"/>
              <w:widowControl w:val="false"/>
              <w:snapToGrid w:val="false"/>
              <w:rPr>
                <w:rFonts w:cs="Arial"/>
                <w:b/>
                <w:bCs/>
                <w:lang w:val="en-GB" w:eastAsia="en-US" w:bidi="en-US"/>
              </w:rPr>
            </w:pPr>
            <w:r>
              <w:rPr>
                <w:rFonts w:cs="Arial"/>
                <w:lang w:val="en-GB"/>
              </w:rPr>
              <w:t xml:space="preserve">Transport </w:t>
            </w:r>
            <w:r>
              <w:rPr>
                <w:lang w:val="en-GB"/>
              </w:rPr>
              <w:br/>
            </w:r>
            <w:r>
              <w:rPr>
                <w:rFonts w:cs="Arial"/>
                <w:lang w:val="en-GB"/>
              </w:rPr>
              <w:t>Places in town</w:t>
            </w:r>
          </w:p>
        </w:tc>
      </w:tr>
      <w:tr>
        <w:trPr/>
        <w:tc>
          <w:tcPr>
            <w:tcW w:w="97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Educazione civica : </w:t>
            </w:r>
            <w:r>
              <w:rPr>
                <w:color w:val="000000"/>
              </w:rPr>
              <w:t>Educazione al benessere e alla salute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Healthy eating; - Junk food;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rPr>
                <w:rFonts w:cs="Arial"/>
                <w:b/>
              </w:rPr>
            </w:pPr>
            <w:r>
              <w:rPr>
                <w:rFonts w:cs="Arial"/>
                <w:bCs/>
              </w:rPr>
              <w:t>Food groups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rPr>
                <w:rFonts w:cs="Arial"/>
                <w:b/>
              </w:rPr>
            </w:pPr>
            <w:r>
              <w:rPr>
                <w:rFonts w:cs="Arial"/>
                <w:bCs/>
              </w:rPr>
              <w:t>Your eating habits</w:t>
            </w:r>
          </w:p>
        </w:tc>
      </w:tr>
    </w:tbl>
    <w:p>
      <w:pPr>
        <w:pStyle w:val="Normal"/>
        <w:rPr>
          <w:b/>
        </w:rPr>
      </w:pPr>
      <w:r>
        <w:rPr>
          <w:b/>
        </w:rPr>
        <w:t xml:space="preserve">Letto, approvato e sottoscritto dalla docente, dai rappresentanti di classe e dagli studenti della classe 1B. </w:t>
      </w:r>
    </w:p>
    <w:p>
      <w:pPr>
        <w:pStyle w:val="Normal"/>
        <w:rPr>
          <w:b/>
        </w:rPr>
      </w:pPr>
      <w:r>
        <w:rPr/>
        <w:t xml:space="preserve">Bergamo, </w:t>
      </w:r>
      <w:r>
        <w:rPr/>
        <w:t>05/06/2025</w:t>
      </w:r>
      <w:r>
        <w:rPr/>
        <w:t xml:space="preserve">                                                                                       </w:t>
      </w:r>
      <w:r>
        <w:rPr>
          <w:b/>
        </w:rPr>
        <w:t>La docente</w:t>
      </w:r>
    </w:p>
    <w:p>
      <w:pPr>
        <w:pStyle w:val="Normal"/>
        <w:rPr/>
      </w:pPr>
      <w:r>
        <w:rPr/>
        <w:t xml:space="preserve">                                                                                                               </w:t>
      </w:r>
      <w:r>
        <w:rPr/>
        <w:t>Claudia Vinciguerra</w:t>
      </w:r>
      <w:bookmarkStart w:id="0" w:name="_GoBack"/>
      <w:bookmarkEnd w:id="0"/>
    </w:p>
    <w:sectPr>
      <w:headerReference w:type="default" r:id="rId2"/>
      <w:footerReference w:type="default" r:id="rId3"/>
      <w:type w:val="nextPage"/>
      <w:pgSz w:w="11906" w:h="16838"/>
      <w:pgMar w:left="720" w:right="720" w:gutter="0" w:header="680" w:top="737" w:footer="680" w:bottom="737"/>
      <w:pgNumType w:fmt="decimal"/>
      <w:formProt w:val="false"/>
      <w:textDirection w:val="lrTb"/>
      <w:docGrid w:type="default" w:linePitch="272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Wingdings 2">
    <w:charset w:val="00"/>
    <w:family w:val="roman"/>
    <w:pitch w:val="variable"/>
  </w:font>
  <w:font w:name="Verdana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jc w:val="center"/>
      <w:rPr/>
    </w:pPr>
    <w:r>
      <w:rPr/>
      <w:t xml:space="preserve">Pag.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2</w:t>
    </w:r>
    <w:r>
      <w:rPr>
        <w:sz w:val="24"/>
        <w:b/>
        <w:szCs w:val="24"/>
        <w:bCs/>
      </w:rPr>
      <w:fldChar w:fldCharType="end"/>
    </w:r>
    <w:r>
      <w:rPr/>
      <w:t xml:space="preserve"> a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2</w:t>
    </w:r>
    <w:r>
      <w:rPr>
        <w:sz w:val="24"/>
        <w:b/>
        <w:szCs w:val="24"/>
        <w:bCs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10466"/>
    </w:tblGrid>
    <w:tr>
      <w:trPr>
        <w:trHeight w:val="1916" w:hRule="atLeast"/>
      </w:trPr>
      <w:tc>
        <w:tcPr>
          <w:tcW w:w="10466" w:type="dxa"/>
          <w:tcBorders>
            <w:bottom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rPr>
              <w:color w:val="000000"/>
            </w:rPr>
          </w:pPr>
          <w:r>
            <w:rPr/>
            <w:drawing>
              <wp:anchor behindDoc="1" distT="0" distB="0" distL="0" distR="0" simplePos="0" locked="0" layoutInCell="1" allowOverlap="1" relativeHeight="3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1" name="Immagine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  <w:drawing>
              <wp:inline distT="0" distB="0" distL="0" distR="0">
                <wp:extent cx="304800" cy="352425"/>
                <wp:effectExtent l="0" t="0" r="0" b="0"/>
                <wp:docPr id="2" name="Immagin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widowControl w:val="false"/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dell’Istruzione e del merito</w:t>
          </w:r>
        </w:p>
        <w:p>
          <w:pPr>
            <w:pStyle w:val="Normal"/>
            <w:widowControl w:val="false"/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I.I.S. Mario Rigoni Stern</w:t>
          </w:r>
        </w:p>
        <w:p>
          <w:pPr>
            <w:pStyle w:val="Normal"/>
            <w:widowControl w:val="false"/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Via Borgo Palazzo 128-24125 Bergamo</w:t>
          </w:r>
        </w:p>
        <w:p>
          <w:pPr>
            <w:pStyle w:val="Normal"/>
            <w:widowControl w:val="false"/>
            <w:jc w:val="center"/>
            <w:rPr>
              <w:sz w:val="22"/>
              <w:szCs w:val="22"/>
              <w:lang w:eastAsia="x-none"/>
            </w:rPr>
          </w:pPr>
          <w:r>
            <w:rPr>
              <w:rFonts w:eastAsia="Wingdings 2" w:cs="Wingdings 2" w:ascii="Wingdings 2" w:hAnsi="Wingdings 2"/>
              <w:sz w:val="22"/>
              <w:szCs w:val="22"/>
              <w:lang w:val="x-none" w:eastAsia="x-none"/>
            </w:rPr>
            <w:t></w:t>
          </w:r>
          <w:r>
            <w:rPr>
              <w:sz w:val="22"/>
              <w:szCs w:val="22"/>
              <w:lang w:val="x-none" w:eastAsia="x-none"/>
            </w:rPr>
            <w:t xml:space="preserve"> </w:t>
          </w:r>
          <w:r>
            <w:rPr>
              <w:sz w:val="22"/>
              <w:szCs w:val="22"/>
              <w:lang w:val="x-none" w:eastAsia="x-none"/>
            </w:rPr>
            <w:t xml:space="preserve">035 </w:t>
          </w:r>
          <w:r>
            <w:rPr>
              <w:sz w:val="22"/>
              <w:szCs w:val="22"/>
              <w:lang w:eastAsia="x-none"/>
            </w:rPr>
            <w:t>220213</w:t>
          </w:r>
        </w:p>
        <w:p>
          <w:pPr>
            <w:pStyle w:val="Normal"/>
            <w:widowControl w:val="false"/>
            <w:jc w:val="center"/>
            <w:rPr>
              <w:color w:val="000000"/>
            </w:rPr>
          </w:pPr>
          <w:r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>
      <w:trPr>
        <w:trHeight w:val="161" w:hRule="atLeast"/>
      </w:trPr>
      <w:tc>
        <w:tcPr>
          <w:tcW w:w="1046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widowControl w:val="false"/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200"/>
  <w:embedSystemFonts/>
  <w:defaultTabStop w:val="708"/>
  <w:autoHyphenation w:val="true"/>
  <w:hyphenationZone w:val="283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591f76"/>
    <w:pPr>
      <w:widowControl/>
      <w:suppressAutoHyphens w:val="true"/>
      <w:bidi w:val="0"/>
      <w:spacing w:before="0" w:after="0"/>
      <w:jc w:val="left"/>
    </w:pPr>
    <w:rPr>
      <w:rFonts w:ascii="Verdana" w:hAnsi="Verdana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Titolo1">
    <w:name w:val="Heading 1"/>
    <w:basedOn w:val="Normal"/>
    <w:next w:val="Normal"/>
    <w:qFormat/>
    <w:pPr>
      <w:keepNext w:val="true"/>
      <w:widowControl w:val="false"/>
      <w:jc w:val="center"/>
      <w:outlineLvl w:val="0"/>
    </w:pPr>
    <w:rPr>
      <w:b/>
      <w:sz w:val="24"/>
      <w:u w:val="single"/>
    </w:rPr>
  </w:style>
  <w:style w:type="paragraph" w:styleId="Titolo2">
    <w:name w:val="Heading 2"/>
    <w:basedOn w:val="Normal"/>
    <w:next w:val="Normal"/>
    <w:qFormat/>
    <w:pPr>
      <w:keepNext w:val="true"/>
      <w:widowControl w:val="false"/>
      <w:jc w:val="center"/>
      <w:outlineLvl w:val="1"/>
    </w:pPr>
    <w:rPr>
      <w:sz w:val="24"/>
    </w:rPr>
  </w:style>
  <w:style w:type="paragraph" w:styleId="Titolo3">
    <w:name w:val="Heading 3"/>
    <w:basedOn w:val="Normal"/>
    <w:next w:val="Normal"/>
    <w:qFormat/>
    <w:pPr>
      <w:keepNext w:val="true"/>
      <w:widowControl w:val="false"/>
      <w:jc w:val="both"/>
      <w:outlineLvl w:val="2"/>
    </w:pPr>
    <w:rPr>
      <w:sz w:val="24"/>
      <w:u w:val="single"/>
    </w:rPr>
  </w:style>
  <w:style w:type="paragraph" w:styleId="Titolo4">
    <w:name w:val="Heading 4"/>
    <w:basedOn w:val="Normal"/>
    <w:next w:val="Normal"/>
    <w:qFormat/>
    <w:pPr>
      <w:keepNext w:val="true"/>
      <w:widowControl w:val="false"/>
      <w:jc w:val="both"/>
      <w:outlineLvl w:val="3"/>
    </w:pPr>
    <w:rPr>
      <w:sz w:val="24"/>
    </w:rPr>
  </w:style>
  <w:style w:type="paragraph" w:styleId="Titolo5">
    <w:name w:val="Heading 5"/>
    <w:basedOn w:val="Normal"/>
    <w:next w:val="Normal"/>
    <w:qFormat/>
    <w:pPr>
      <w:keepNext w:val="true"/>
      <w:widowControl w:val="false"/>
      <w:jc w:val="right"/>
      <w:outlineLvl w:val="4"/>
    </w:pPr>
    <w:rPr>
      <w:b/>
      <w:sz w:val="24"/>
    </w:rPr>
  </w:style>
  <w:style w:type="paragraph" w:styleId="Titolo6">
    <w:name w:val="Heading 6"/>
    <w:basedOn w:val="Normal"/>
    <w:next w:val="Normal"/>
    <w:qFormat/>
    <w:pPr>
      <w:keepNext w:val="true"/>
      <w:widowControl w:val="false"/>
      <w:jc w:val="center"/>
      <w:outlineLvl w:val="5"/>
    </w:pPr>
    <w:rPr>
      <w:b/>
      <w:sz w:val="24"/>
    </w:rPr>
  </w:style>
  <w:style w:type="paragraph" w:styleId="Titolo7">
    <w:name w:val="Heading 7"/>
    <w:basedOn w:val="Normal"/>
    <w:next w:val="Normal"/>
    <w:qFormat/>
    <w:pPr>
      <w:keepNext w:val="true"/>
      <w:jc w:val="center"/>
      <w:outlineLvl w:val="6"/>
    </w:pPr>
    <w:rPr>
      <w:b/>
      <w:sz w:val="28"/>
    </w:rPr>
  </w:style>
  <w:style w:type="paragraph" w:styleId="Titolo8">
    <w:name w:val="Heading 8"/>
    <w:basedOn w:val="Normal"/>
    <w:next w:val="Normal"/>
    <w:qFormat/>
    <w:pPr>
      <w:keepNext w:val="true"/>
      <w:jc w:val="center"/>
      <w:outlineLvl w:val="7"/>
    </w:pPr>
    <w:rPr>
      <w:b/>
      <w:sz w:val="40"/>
    </w:rPr>
  </w:style>
  <w:style w:type="paragraph" w:styleId="Titolo9">
    <w:name w:val="Heading 9"/>
    <w:basedOn w:val="Normal"/>
    <w:next w:val="Normal"/>
    <w:qFormat/>
    <w:pPr>
      <w:keepNext w:val="true"/>
      <w:jc w:val="center"/>
      <w:outlineLvl w:val="8"/>
    </w:pPr>
    <w:rPr>
      <w:b/>
      <w:i/>
      <w:sz w:val="28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CollegamentoInternet" w:customStyle="1">
    <w:name w:val="Hyperlink"/>
    <w:rPr>
      <w:color w:val="0000FF"/>
      <w:u w:val="single"/>
    </w:rPr>
  </w:style>
  <w:style w:type="character" w:styleId="PidipaginaCarattere" w:customStyle="1">
    <w:name w:val="Piè di pagina Carattere"/>
    <w:uiPriority w:val="99"/>
    <w:qFormat/>
    <w:rsid w:val="00a10943"/>
    <w:rPr>
      <w:rFonts w:ascii="Verdana" w:hAnsi="Verdan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widowControl w:val="false"/>
      <w:jc w:val="both"/>
    </w:pPr>
    <w:rPr>
      <w:sz w:val="2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Corpodeltesto"/>
    <w:qFormat/>
    <w:pPr>
      <w:jc w:val="center"/>
    </w:pPr>
    <w:rPr>
      <w:b/>
      <w:sz w:val="3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Pidipagina">
    <w:name w:val="Footer"/>
    <w:basedOn w:val="Normal"/>
    <w:link w:val="PidipaginaCarattere"/>
    <w:uiPriority w:val="99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Rientrocorpodeltesto">
    <w:name w:val="Body Text Indent"/>
    <w:basedOn w:val="Normal"/>
    <w:pPr>
      <w:spacing w:before="0" w:after="120"/>
      <w:ind w:left="283" w:hanging="0"/>
    </w:pPr>
    <w:rPr/>
  </w:style>
  <w:style w:type="paragraph" w:styleId="Intestazione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5af6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LibreOffice/7.5.9.2$Windows_X86_64 LibreOffice_project/cdeefe45c17511d326101eed8008ac4092f278a9</Application>
  <AppVersion>15.0000</AppVersion>
  <DocSecurity>0</DocSecurity>
  <Pages>2</Pages>
  <Words>579</Words>
  <Characters>3489</Characters>
  <CharactersWithSpaces>4262</CharactersWithSpaces>
  <Paragraphs>90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2025-05-13T14:34:00Z</dcterms:created>
  <dc:creator>ITAS</dc:creator>
  <dc:description/>
  <dc:language>it-IT</dc:language>
  <cp:lastModifiedBy/>
  <cp:lastPrinted>2023-05-29T22:21:00Z</cp:lastPrinted>
  <dcterms:modified xsi:type="dcterms:W3CDTF">2025-06-05T11:26:30Z</dcterms:modified>
  <cp:revision>4</cp:revision>
  <dc:subject/>
  <dc:title>ISTITUTO TECNICO AGRARIO STATALE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